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07A7" w14:textId="77777777" w:rsidR="004E6A4B" w:rsidRPr="003F093B" w:rsidRDefault="00FD7868" w:rsidP="003F093B">
      <w:pPr>
        <w:pStyle w:val="NoSpacing"/>
        <w:shd w:val="clear" w:color="auto" w:fill="002060"/>
        <w:jc w:val="center"/>
        <w:rPr>
          <w:b/>
          <w:color w:val="FFC000"/>
          <w:sz w:val="28"/>
          <w:szCs w:val="28"/>
        </w:rPr>
      </w:pPr>
      <w:r w:rsidRPr="003F093B">
        <w:rPr>
          <w:b/>
          <w:color w:val="FFC000"/>
          <w:sz w:val="28"/>
          <w:szCs w:val="28"/>
        </w:rPr>
        <w:t>The Clinical Coordination Partnership</w:t>
      </w:r>
    </w:p>
    <w:p w14:paraId="19997639" w14:textId="0A4AD0EB" w:rsidR="00FD7868" w:rsidRPr="003F093B" w:rsidRDefault="00FD7868" w:rsidP="003F093B">
      <w:pPr>
        <w:pStyle w:val="NoSpacing"/>
        <w:shd w:val="clear" w:color="auto" w:fill="002060"/>
        <w:jc w:val="center"/>
        <w:rPr>
          <w:b/>
          <w:color w:val="FFC000"/>
          <w:sz w:val="28"/>
          <w:szCs w:val="28"/>
        </w:rPr>
      </w:pPr>
      <w:r w:rsidRPr="003F093B">
        <w:rPr>
          <w:b/>
          <w:color w:val="FFC000"/>
          <w:sz w:val="28"/>
          <w:szCs w:val="28"/>
        </w:rPr>
        <w:t xml:space="preserve">Membership </w:t>
      </w:r>
      <w:r w:rsidR="00F66230">
        <w:rPr>
          <w:b/>
          <w:color w:val="FFC000"/>
          <w:sz w:val="28"/>
          <w:szCs w:val="28"/>
        </w:rPr>
        <w:t xml:space="preserve">Dues </w:t>
      </w:r>
      <w:r w:rsidRPr="003F093B">
        <w:rPr>
          <w:b/>
          <w:color w:val="FFC000"/>
          <w:sz w:val="28"/>
          <w:szCs w:val="28"/>
        </w:rPr>
        <w:t>Scale Changes Update</w:t>
      </w:r>
    </w:p>
    <w:p w14:paraId="2F59398E" w14:textId="77777777" w:rsidR="00FD7868" w:rsidRDefault="00FD7868" w:rsidP="003F093B">
      <w:pPr>
        <w:pStyle w:val="NoSpacing"/>
        <w:shd w:val="clear" w:color="auto" w:fill="002060"/>
        <w:jc w:val="center"/>
      </w:pPr>
      <w:r w:rsidRPr="003F093B">
        <w:rPr>
          <w:b/>
          <w:color w:val="FFC000"/>
        </w:rPr>
        <w:t>November 2018</w:t>
      </w:r>
    </w:p>
    <w:p w14:paraId="0D01D60E" w14:textId="77777777" w:rsidR="00FD7868" w:rsidRDefault="00FD7868" w:rsidP="00FD7868">
      <w:pPr>
        <w:pStyle w:val="NoSpacing"/>
      </w:pPr>
    </w:p>
    <w:p w14:paraId="1A7D85EB" w14:textId="00ED1C6D" w:rsidR="00FD7868" w:rsidRPr="003F093B" w:rsidRDefault="003F093B" w:rsidP="003F093B">
      <w:pPr>
        <w:pStyle w:val="NoSpacing"/>
        <w:shd w:val="clear" w:color="auto" w:fill="002060"/>
        <w:jc w:val="center"/>
        <w:rPr>
          <w:b/>
          <w:color w:val="FFC000"/>
        </w:rPr>
      </w:pPr>
      <w:r>
        <w:rPr>
          <w:b/>
          <w:color w:val="FF0000"/>
        </w:rPr>
        <w:t xml:space="preserve">NOTICE </w:t>
      </w:r>
      <w:r w:rsidR="00FD7868" w:rsidRPr="003F093B">
        <w:rPr>
          <w:b/>
          <w:color w:val="FFC000"/>
        </w:rPr>
        <w:t xml:space="preserve">of TCCP Membership </w:t>
      </w:r>
      <w:r w:rsidR="00ED53C4">
        <w:rPr>
          <w:b/>
          <w:color w:val="FFC000"/>
        </w:rPr>
        <w:t xml:space="preserve">Dues </w:t>
      </w:r>
      <w:r w:rsidR="00FD7868" w:rsidRPr="003F093B">
        <w:rPr>
          <w:b/>
          <w:color w:val="FFC000"/>
        </w:rPr>
        <w:t xml:space="preserve">Scale &amp; Rate Changes for </w:t>
      </w:r>
      <w:proofErr w:type="gramStart"/>
      <w:r w:rsidR="00FD7868" w:rsidRPr="003F093B">
        <w:rPr>
          <w:b/>
          <w:color w:val="FFC000"/>
        </w:rPr>
        <w:t>July</w:t>
      </w:r>
      <w:r w:rsidR="00F15246">
        <w:rPr>
          <w:b/>
          <w:color w:val="FFC000"/>
        </w:rPr>
        <w:t>,</w:t>
      </w:r>
      <w:proofErr w:type="gramEnd"/>
      <w:r w:rsidR="00FD7868" w:rsidRPr="003F093B">
        <w:rPr>
          <w:b/>
          <w:color w:val="FFC000"/>
        </w:rPr>
        <w:t xml:space="preserve"> 2019</w:t>
      </w:r>
    </w:p>
    <w:p w14:paraId="5C875000" w14:textId="77777777" w:rsidR="00FD7868" w:rsidRDefault="00FD7868" w:rsidP="00FD7868">
      <w:pPr>
        <w:pStyle w:val="NoSpacing"/>
      </w:pPr>
    </w:p>
    <w:p w14:paraId="4E1502B7" w14:textId="6FBE42D5" w:rsidR="00C07216" w:rsidRPr="00DA0201" w:rsidRDefault="003F093B" w:rsidP="00C07216">
      <w:pPr>
        <w:pStyle w:val="NoSpacing"/>
        <w:rPr>
          <w:i/>
          <w:color w:val="002060"/>
        </w:rPr>
      </w:pPr>
      <w:r w:rsidRPr="00DA0201">
        <w:rPr>
          <w:i/>
          <w:color w:val="002060"/>
        </w:rPr>
        <w:t xml:space="preserve">Brief </w:t>
      </w:r>
      <w:r w:rsidR="00C07216" w:rsidRPr="00DA0201">
        <w:rPr>
          <w:i/>
          <w:color w:val="002060"/>
        </w:rPr>
        <w:t>Background</w:t>
      </w:r>
    </w:p>
    <w:p w14:paraId="171603D8" w14:textId="5D33AF63" w:rsidR="00FD7868" w:rsidRDefault="00FD7868" w:rsidP="00FD7868">
      <w:pPr>
        <w:pStyle w:val="NoSpacing"/>
      </w:pPr>
      <w:r>
        <w:t>According to TCCP Bylaws, every three (3) years TCCP will hold a</w:t>
      </w:r>
      <w:r w:rsidR="00F15246">
        <w:t xml:space="preserve"> meeting (open to all TCCP </w:t>
      </w:r>
      <w:r w:rsidR="001A2F86">
        <w:t>partners</w:t>
      </w:r>
      <w:r w:rsidR="00F15246">
        <w:t xml:space="preserve">) </w:t>
      </w:r>
      <w:r>
        <w:t>to review the TCCP Membership</w:t>
      </w:r>
      <w:r w:rsidR="0089641A">
        <w:t xml:space="preserve"> Dues</w:t>
      </w:r>
      <w:r>
        <w:t xml:space="preserve"> </w:t>
      </w:r>
      <w:r w:rsidR="001A2F86">
        <w:t>Scale</w:t>
      </w:r>
      <w:r w:rsidR="0089641A">
        <w:t xml:space="preserve"> Tiers</w:t>
      </w:r>
      <w:r w:rsidR="001A2F86">
        <w:t xml:space="preserve"> &amp; Rates, and</w:t>
      </w:r>
      <w:r>
        <w:t xml:space="preserve"> to discuss and recommend changes.</w:t>
      </w:r>
      <w:r w:rsidR="0089641A">
        <w:t xml:space="preserve"> </w:t>
      </w:r>
      <w:r>
        <w:t>On October 4</w:t>
      </w:r>
      <w:r w:rsidRPr="00FD7868">
        <w:rPr>
          <w:vertAlign w:val="superscript"/>
        </w:rPr>
        <w:t>th</w:t>
      </w:r>
      <w:r>
        <w:t xml:space="preserve"> </w:t>
      </w:r>
      <w:r w:rsidR="00681C1A">
        <w:t>approximately</w:t>
      </w:r>
      <w:r w:rsidR="00D26DD6">
        <w:t xml:space="preserve"> 25</w:t>
      </w:r>
      <w:r>
        <w:t xml:space="preserve"> TCCP members</w:t>
      </w:r>
      <w:r w:rsidR="00DD633C">
        <w:t>,</w:t>
      </w:r>
      <w:r>
        <w:t xml:space="preserve"> representing </w:t>
      </w:r>
      <w:r w:rsidR="00681C1A">
        <w:t xml:space="preserve">both </w:t>
      </w:r>
      <w:r>
        <w:t>schools and clinical sites</w:t>
      </w:r>
      <w:r w:rsidR="00681C1A">
        <w:t>, participated in this meeting</w:t>
      </w:r>
      <w:r>
        <w:t>.</w:t>
      </w:r>
      <w:r w:rsidR="0089641A">
        <w:t xml:space="preserve"> </w:t>
      </w:r>
      <w:r>
        <w:t>The meeting’s concluding recommendations were submitted to the TCCP Advisory Committee for discussion and vote on November 15</w:t>
      </w:r>
      <w:r w:rsidRPr="00FD7868">
        <w:rPr>
          <w:vertAlign w:val="superscript"/>
        </w:rPr>
        <w:t>th</w:t>
      </w:r>
      <w:r>
        <w:t>.</w:t>
      </w:r>
      <w:r w:rsidR="0089641A">
        <w:t xml:space="preserve"> </w:t>
      </w:r>
    </w:p>
    <w:p w14:paraId="429E3562" w14:textId="77777777" w:rsidR="00FD7868" w:rsidRDefault="00FD7868" w:rsidP="00FD7868">
      <w:pPr>
        <w:pStyle w:val="NoSpacing"/>
      </w:pPr>
    </w:p>
    <w:p w14:paraId="4A72C81E" w14:textId="61BDBD79" w:rsidR="00FD7868" w:rsidRDefault="00FD7868" w:rsidP="00FD7868">
      <w:pPr>
        <w:pStyle w:val="NoSpacing"/>
      </w:pPr>
      <w:r>
        <w:t xml:space="preserve">Below are the </w:t>
      </w:r>
      <w:r w:rsidR="00681C1A">
        <w:t xml:space="preserve">changes to the </w:t>
      </w:r>
      <w:r>
        <w:t xml:space="preserve">TCCP </w:t>
      </w:r>
      <w:r w:rsidR="00681C1A">
        <w:t xml:space="preserve">Membership Dues Scale that were </w:t>
      </w:r>
      <w:r w:rsidRPr="003F093B">
        <w:rPr>
          <w:u w:val="single"/>
        </w:rPr>
        <w:t>unanimously approved</w:t>
      </w:r>
      <w:r>
        <w:t xml:space="preserve"> </w:t>
      </w:r>
      <w:r w:rsidR="00681C1A">
        <w:t>by the TCCP Advisory Committee. These changes will</w:t>
      </w:r>
      <w:r>
        <w:t xml:space="preserve"> be implemented </w:t>
      </w:r>
      <w:r w:rsidR="00681C1A">
        <w:t xml:space="preserve">for the next billing date of </w:t>
      </w:r>
      <w:r>
        <w:t>July</w:t>
      </w:r>
      <w:r w:rsidR="00DD633C">
        <w:t xml:space="preserve"> 1</w:t>
      </w:r>
      <w:r w:rsidR="00DD633C" w:rsidRPr="00DD633C">
        <w:rPr>
          <w:vertAlign w:val="superscript"/>
        </w:rPr>
        <w:t>st</w:t>
      </w:r>
      <w:r w:rsidR="00DD633C">
        <w:t>,</w:t>
      </w:r>
      <w:r>
        <w:t xml:space="preserve"> 2019.</w:t>
      </w:r>
      <w:r w:rsidR="0089641A">
        <w:t xml:space="preserve"> </w:t>
      </w:r>
      <w:r w:rsidR="00B7765D">
        <w:t>The f</w:t>
      </w:r>
      <w:bookmarkStart w:id="0" w:name="_GoBack"/>
      <w:bookmarkEnd w:id="0"/>
      <w:r w:rsidR="00272A75">
        <w:t>ollowing</w:t>
      </w:r>
      <w:r w:rsidR="00DB6BFB">
        <w:t xml:space="preserve"> </w:t>
      </w:r>
      <w:r w:rsidR="002F6E9C">
        <w:t>pages</w:t>
      </w:r>
      <w:r>
        <w:t xml:space="preserve"> </w:t>
      </w:r>
      <w:r w:rsidR="00681C1A">
        <w:t>provide further information about</w:t>
      </w:r>
      <w:r>
        <w:t xml:space="preserve"> </w:t>
      </w:r>
      <w:r w:rsidR="00DB6BFB">
        <w:t>the TCCP</w:t>
      </w:r>
      <w:r>
        <w:t xml:space="preserve"> </w:t>
      </w:r>
      <w:r w:rsidR="00DB6BFB">
        <w:t>m</w:t>
      </w:r>
      <w:r>
        <w:t xml:space="preserve">embership </w:t>
      </w:r>
      <w:r w:rsidR="00DB6BFB">
        <w:t>d</w:t>
      </w:r>
      <w:r w:rsidR="0089641A">
        <w:t>ues</w:t>
      </w:r>
      <w:r w:rsidR="00DB6BFB">
        <w:t xml:space="preserve"> and the Membership Dues and Advisory C</w:t>
      </w:r>
      <w:r>
        <w:t>ommittee</w:t>
      </w:r>
      <w:r w:rsidR="00DB6BFB">
        <w:t>s’</w:t>
      </w:r>
      <w:r>
        <w:t xml:space="preserve"> </w:t>
      </w:r>
      <w:r w:rsidR="0058046C">
        <w:t xml:space="preserve">process, </w:t>
      </w:r>
      <w:r>
        <w:t>recommendations and decisions.</w:t>
      </w:r>
    </w:p>
    <w:p w14:paraId="307406BC" w14:textId="77777777" w:rsidR="00A60384" w:rsidRDefault="00A60384" w:rsidP="00FD7868">
      <w:pPr>
        <w:pStyle w:val="NoSpacing"/>
      </w:pPr>
    </w:p>
    <w:p w14:paraId="6E3319FC" w14:textId="6A72DFCF" w:rsidR="00A60384" w:rsidRPr="00DA0201" w:rsidRDefault="00A60384" w:rsidP="00FD7868">
      <w:pPr>
        <w:pStyle w:val="NoSpacing"/>
        <w:rPr>
          <w:i/>
          <w:color w:val="002060"/>
        </w:rPr>
      </w:pPr>
      <w:r w:rsidRPr="00DA0201">
        <w:rPr>
          <w:i/>
          <w:color w:val="002060"/>
        </w:rPr>
        <w:t>Advisory Committee Decisions for the 2019-202</w:t>
      </w:r>
      <w:r w:rsidR="0049525D">
        <w:rPr>
          <w:i/>
          <w:color w:val="002060"/>
        </w:rPr>
        <w:t>1</w:t>
      </w:r>
      <w:r w:rsidRPr="00DA0201">
        <w:rPr>
          <w:i/>
          <w:color w:val="002060"/>
        </w:rPr>
        <w:t xml:space="preserve"> Membership </w:t>
      </w:r>
      <w:r w:rsidR="0089641A">
        <w:rPr>
          <w:i/>
          <w:color w:val="002060"/>
        </w:rPr>
        <w:t>Dues</w:t>
      </w:r>
      <w:r w:rsidRPr="00DA0201">
        <w:rPr>
          <w:i/>
          <w:color w:val="002060"/>
        </w:rPr>
        <w:t xml:space="preserve"> Scale</w:t>
      </w:r>
    </w:p>
    <w:p w14:paraId="68A4F796" w14:textId="33A7B68F" w:rsidR="00A60384" w:rsidRDefault="00A60384" w:rsidP="00A60384">
      <w:pPr>
        <w:pStyle w:val="NoSpacing"/>
        <w:numPr>
          <w:ilvl w:val="0"/>
          <w:numId w:val="1"/>
        </w:numPr>
      </w:pPr>
      <w:r>
        <w:t xml:space="preserve">The lowest member tier (1-19 placements) will be increased to $200 per </w:t>
      </w:r>
      <w:r w:rsidR="00153B1E">
        <w:t xml:space="preserve">active/approved </w:t>
      </w:r>
      <w:r w:rsidR="001A2F86">
        <w:t>experience</w:t>
      </w:r>
      <w:r>
        <w:t xml:space="preserve">. </w:t>
      </w:r>
    </w:p>
    <w:p w14:paraId="1BBB2164" w14:textId="585AA0E9" w:rsidR="00A60384" w:rsidRDefault="0089641A" w:rsidP="0041479D">
      <w:pPr>
        <w:pStyle w:val="NoSpacing"/>
        <w:numPr>
          <w:ilvl w:val="0"/>
          <w:numId w:val="1"/>
        </w:numPr>
      </w:pPr>
      <w:r>
        <w:t>Membership Dues Scale</w:t>
      </w:r>
      <w:r w:rsidR="001A2F86">
        <w:t xml:space="preserve"> tiers</w:t>
      </w:r>
      <w:r w:rsidR="00A60384">
        <w:t xml:space="preserve"> will be changed to reflect levels of usage by every 50 </w:t>
      </w:r>
      <w:r w:rsidR="00153B1E">
        <w:t xml:space="preserve">active/approved </w:t>
      </w:r>
      <w:r w:rsidR="001A2F86">
        <w:t>experiences</w:t>
      </w:r>
      <w:r w:rsidR="00A60384">
        <w:t>.</w:t>
      </w:r>
      <w:r>
        <w:t xml:space="preserve"> </w:t>
      </w:r>
      <w:r w:rsidR="004F160F">
        <w:t xml:space="preserve">This means the number of </w:t>
      </w:r>
      <w:r w:rsidR="00DD633C">
        <w:t>tiers</w:t>
      </w:r>
      <w:r w:rsidR="004F160F">
        <w:t xml:space="preserve"> will increase to </w:t>
      </w:r>
      <w:r w:rsidR="00DD633C">
        <w:t>twenty-three</w:t>
      </w:r>
      <w:r w:rsidR="004F160F">
        <w:t xml:space="preserve"> (23)</w:t>
      </w:r>
      <w:r w:rsidR="001A2F86">
        <w:t xml:space="preserve">. </w:t>
      </w:r>
      <w:r w:rsidR="004F160F">
        <w:t>(</w:t>
      </w:r>
      <w:r w:rsidR="001A2F86">
        <w:t>S</w:t>
      </w:r>
      <w:r w:rsidR="004F160F">
        <w:t>ee 2019-202</w:t>
      </w:r>
      <w:r w:rsidR="0049525D">
        <w:t>1</w:t>
      </w:r>
      <w:r w:rsidR="004F160F">
        <w:t xml:space="preserve"> scale attachment</w:t>
      </w:r>
      <w:r w:rsidR="001A2F86">
        <w:t>.</w:t>
      </w:r>
      <w:r w:rsidR="004F160F">
        <w:t>)</w:t>
      </w:r>
      <w:r>
        <w:t xml:space="preserve"> </w:t>
      </w:r>
      <w:r w:rsidR="004F160F">
        <w:t xml:space="preserve">Previously there were seven (7) </w:t>
      </w:r>
      <w:r w:rsidR="00F66230">
        <w:t>tiers</w:t>
      </w:r>
      <w:r w:rsidR="001A2F86">
        <w:t>.</w:t>
      </w:r>
      <w:r w:rsidR="004F160F">
        <w:t xml:space="preserve"> (</w:t>
      </w:r>
      <w:r w:rsidR="001A2F86">
        <w:t>S</w:t>
      </w:r>
      <w:r w:rsidR="004F160F">
        <w:t>ee 201</w:t>
      </w:r>
      <w:r w:rsidR="00DD633C">
        <w:t>6</w:t>
      </w:r>
      <w:r w:rsidR="004F160F">
        <w:t>-201</w:t>
      </w:r>
      <w:r w:rsidR="00431477">
        <w:t>8</w:t>
      </w:r>
      <w:r w:rsidR="004F160F">
        <w:t xml:space="preserve"> scale attachment</w:t>
      </w:r>
      <w:r w:rsidR="001A2F86">
        <w:t>.</w:t>
      </w:r>
      <w:r w:rsidR="004F160F">
        <w:t>)</w:t>
      </w:r>
    </w:p>
    <w:p w14:paraId="74FCC261" w14:textId="7A7FF7FD" w:rsidR="004F160F" w:rsidRDefault="001A2F86" w:rsidP="00A60384">
      <w:pPr>
        <w:pStyle w:val="NoSpacing"/>
        <w:numPr>
          <w:ilvl w:val="0"/>
          <w:numId w:val="1"/>
        </w:numPr>
      </w:pPr>
      <w:r>
        <w:t>Each t</w:t>
      </w:r>
      <w:r w:rsidR="00DD633C">
        <w:t>ier</w:t>
      </w:r>
      <w:r>
        <w:t>’s</w:t>
      </w:r>
      <w:r w:rsidR="003F093B">
        <w:t xml:space="preserve"> </w:t>
      </w:r>
      <w:r>
        <w:t xml:space="preserve">dues </w:t>
      </w:r>
      <w:r w:rsidR="003F093B">
        <w:t>amount</w:t>
      </w:r>
      <w:r w:rsidR="004F160F">
        <w:t xml:space="preserve"> will increase by 5%</w:t>
      </w:r>
      <w:r w:rsidR="00DA0201">
        <w:t>.</w:t>
      </w:r>
      <w:r w:rsidR="0089641A">
        <w:t xml:space="preserve"> </w:t>
      </w:r>
      <w:r w:rsidR="00DA0201">
        <w:t xml:space="preserve">This means that the lowest tier </w:t>
      </w:r>
      <w:r w:rsidR="00DD633C">
        <w:t>will rise from</w:t>
      </w:r>
      <w:r w:rsidR="00DA0201">
        <w:t xml:space="preserve"> $3,000 </w:t>
      </w:r>
      <w:r w:rsidR="00DD633C">
        <w:t>to</w:t>
      </w:r>
      <w:r w:rsidR="00DA0201">
        <w:t xml:space="preserve"> $3,150 and the highest tier </w:t>
      </w:r>
      <w:r w:rsidR="00DD633C">
        <w:t>will rise from $13,500 to</w:t>
      </w:r>
      <w:r w:rsidR="00DA0201">
        <w:t xml:space="preserve"> $14,175.</w:t>
      </w:r>
    </w:p>
    <w:p w14:paraId="1FBA0744" w14:textId="7BCF9EE6" w:rsidR="004F160F" w:rsidRDefault="004F160F" w:rsidP="00A60384">
      <w:pPr>
        <w:pStyle w:val="NoSpacing"/>
        <w:numPr>
          <w:ilvl w:val="0"/>
          <w:numId w:val="1"/>
        </w:numPr>
      </w:pPr>
      <w:r>
        <w:t xml:space="preserve">Membership </w:t>
      </w:r>
      <w:r w:rsidR="0089641A">
        <w:t>dues</w:t>
      </w:r>
      <w:r>
        <w:t xml:space="preserve"> </w:t>
      </w:r>
      <w:r w:rsidR="00DD633C">
        <w:t>tier changes</w:t>
      </w:r>
      <w:r>
        <w:t xml:space="preserve"> will be implemented the year they occur.</w:t>
      </w:r>
      <w:r w:rsidR="0089641A">
        <w:t xml:space="preserve"> </w:t>
      </w:r>
      <w:r>
        <w:t xml:space="preserve">The previous allowance of </w:t>
      </w:r>
      <w:r w:rsidR="00DD633C">
        <w:t xml:space="preserve">one year’s grace period for </w:t>
      </w:r>
      <w:r>
        <w:t>a membership rate increase has been removed.</w:t>
      </w:r>
      <w:r w:rsidR="001A2F86">
        <w:t xml:space="preserve"> </w:t>
      </w:r>
    </w:p>
    <w:p w14:paraId="00A4BAF4" w14:textId="2FE400D6" w:rsidR="00AB13E9" w:rsidRDefault="00AB13E9" w:rsidP="00AB13E9">
      <w:pPr>
        <w:pStyle w:val="NoSpacing"/>
      </w:pPr>
    </w:p>
    <w:p w14:paraId="5900EBCE" w14:textId="1E1DAE66" w:rsidR="003F093B" w:rsidRPr="00DA0201" w:rsidRDefault="003F093B" w:rsidP="00AB13E9">
      <w:pPr>
        <w:pStyle w:val="NoSpacing"/>
        <w:rPr>
          <w:i/>
          <w:color w:val="002060"/>
        </w:rPr>
      </w:pPr>
      <w:r w:rsidRPr="00DA0201">
        <w:rPr>
          <w:i/>
          <w:color w:val="002060"/>
        </w:rPr>
        <w:t>Advisory Committee Further Recommendations</w:t>
      </w:r>
    </w:p>
    <w:p w14:paraId="142F454B" w14:textId="151FD332" w:rsidR="00DA0201" w:rsidRDefault="00DD633C" w:rsidP="003F093B">
      <w:pPr>
        <w:pStyle w:val="NoSpacing"/>
        <w:numPr>
          <w:ilvl w:val="0"/>
          <w:numId w:val="6"/>
        </w:numPr>
      </w:pPr>
      <w:r>
        <w:t>R</w:t>
      </w:r>
      <w:r w:rsidR="003F093B">
        <w:t>esearch</w:t>
      </w:r>
      <w:r>
        <w:t>/evaluate</w:t>
      </w:r>
      <w:r w:rsidR="003F093B">
        <w:t xml:space="preserve"> </w:t>
      </w:r>
      <w:r w:rsidR="001A2F86">
        <w:t>‘</w:t>
      </w:r>
      <w:r>
        <w:t>o</w:t>
      </w:r>
      <w:r w:rsidR="003F093B">
        <w:t>bservation</w:t>
      </w:r>
      <w:r w:rsidR="001A2F86">
        <w:t xml:space="preserve">’ </w:t>
      </w:r>
      <w:r>
        <w:t>experiences:</w:t>
      </w:r>
      <w:r w:rsidR="003F093B">
        <w:t xml:space="preserve"> do further research, gather data, and consider </w:t>
      </w:r>
      <w:r>
        <w:t xml:space="preserve">including active/approved </w:t>
      </w:r>
      <w:r w:rsidR="003F093B">
        <w:t>observations</w:t>
      </w:r>
      <w:r>
        <w:t xml:space="preserve"> in the pricing structure</w:t>
      </w:r>
      <w:r w:rsidR="003F093B">
        <w:t xml:space="preserve">. </w:t>
      </w:r>
      <w:r>
        <w:t>TCCP staff will c</w:t>
      </w:r>
      <w:r w:rsidR="003F093B">
        <w:t xml:space="preserve">onduct research over the next year, then </w:t>
      </w:r>
      <w:r w:rsidR="00431477">
        <w:t xml:space="preserve">the Advisory Committee will </w:t>
      </w:r>
      <w:r w:rsidR="003F093B">
        <w:t xml:space="preserve">discuss charging for observations. The </w:t>
      </w:r>
      <w:r w:rsidR="00431477">
        <w:t xml:space="preserve">member </w:t>
      </w:r>
      <w:r w:rsidR="00F66230">
        <w:t>dues</w:t>
      </w:r>
      <w:r w:rsidR="00431477">
        <w:t xml:space="preserve"> </w:t>
      </w:r>
      <w:r w:rsidR="003F093B">
        <w:t xml:space="preserve">group was in favor of charging for stand-alone observations and to include the total number </w:t>
      </w:r>
      <w:r w:rsidR="001A2F86">
        <w:t>in</w:t>
      </w:r>
      <w:r w:rsidR="003F093B">
        <w:t xml:space="preserve"> a group (acc</w:t>
      </w:r>
      <w:r w:rsidR="00DA0201">
        <w:t>ount</w:t>
      </w:r>
      <w:r w:rsidR="001A2F86">
        <w:t>ing</w:t>
      </w:r>
      <w:r w:rsidR="00DA0201">
        <w:t xml:space="preserve"> for those that rotate off</w:t>
      </w:r>
      <w:r w:rsidR="001A2F86">
        <w:t xml:space="preserve"> to observations</w:t>
      </w:r>
      <w:r w:rsidR="00DA0201">
        <w:t xml:space="preserve">) for better </w:t>
      </w:r>
      <w:r w:rsidR="0058046C">
        <w:t>representation</w:t>
      </w:r>
      <w:r w:rsidR="00DA0201">
        <w:t xml:space="preserve"> of actual student activity.</w:t>
      </w:r>
    </w:p>
    <w:p w14:paraId="6ED264C1" w14:textId="218C0F06" w:rsidR="00DA0201" w:rsidRPr="0058046C" w:rsidRDefault="00DA0201" w:rsidP="00DA0201">
      <w:pPr>
        <w:pStyle w:val="NoSpacing"/>
        <w:numPr>
          <w:ilvl w:val="0"/>
          <w:numId w:val="6"/>
        </w:numPr>
      </w:pPr>
      <w:r>
        <w:t xml:space="preserve">Add </w:t>
      </w:r>
      <w:r w:rsidR="00431477">
        <w:t xml:space="preserve">to the </w:t>
      </w:r>
      <w:r>
        <w:t xml:space="preserve">criteria </w:t>
      </w:r>
      <w:r w:rsidR="00431477">
        <w:t xml:space="preserve">for </w:t>
      </w:r>
      <w:r>
        <w:t>the TCCP Appeal Process</w:t>
      </w:r>
      <w:r w:rsidR="001A2F86">
        <w:t>,</w:t>
      </w:r>
      <w:r>
        <w:t xml:space="preserve"> to make </w:t>
      </w:r>
      <w:r w:rsidR="00431477">
        <w:t>it clearer</w:t>
      </w:r>
      <w:r>
        <w:t>.</w:t>
      </w:r>
      <w:r w:rsidR="0089641A">
        <w:t xml:space="preserve"> </w:t>
      </w:r>
      <w:r>
        <w:t xml:space="preserve">The TCCP Advisory Chair Committee will draft </w:t>
      </w:r>
      <w:r w:rsidR="001A2F86">
        <w:t xml:space="preserve">a new appeal process guide </w:t>
      </w:r>
      <w:r>
        <w:t>for the July notice of TCCP Membership Dues.</w:t>
      </w:r>
      <w:r w:rsidR="003F093B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5"/>
        <w:gridCol w:w="715"/>
      </w:tblGrid>
      <w:tr w:rsidR="000B70EF" w14:paraId="4696F917" w14:textId="77777777" w:rsidTr="000B70EF">
        <w:tc>
          <w:tcPr>
            <w:tcW w:w="8635" w:type="dxa"/>
          </w:tcPr>
          <w:p w14:paraId="1C2F6690" w14:textId="59C90CA2" w:rsidR="000B70EF" w:rsidRDefault="0058046C" w:rsidP="000B70EF">
            <w:r w:rsidRPr="000B70EF">
              <w:rPr>
                <w:i/>
                <w:color w:val="002060"/>
              </w:rPr>
              <w:t>Supporting/Additional Information</w:t>
            </w:r>
          </w:p>
        </w:tc>
        <w:tc>
          <w:tcPr>
            <w:tcW w:w="715" w:type="dxa"/>
          </w:tcPr>
          <w:p w14:paraId="617E5530" w14:textId="46721C4E" w:rsidR="000B70EF" w:rsidRDefault="000B70EF" w:rsidP="000B70EF">
            <w:pPr>
              <w:jc w:val="center"/>
            </w:pPr>
            <w:r>
              <w:t>Page</w:t>
            </w:r>
          </w:p>
        </w:tc>
      </w:tr>
      <w:tr w:rsidR="000B70EF" w14:paraId="6635E3A8" w14:textId="77777777" w:rsidTr="000B70EF">
        <w:tc>
          <w:tcPr>
            <w:tcW w:w="8635" w:type="dxa"/>
          </w:tcPr>
          <w:p w14:paraId="28DEBB5A" w14:textId="71792A6A" w:rsidR="000B70EF" w:rsidRDefault="000B70EF" w:rsidP="000B70EF">
            <w:r>
              <w:t xml:space="preserve">    2019-2022 </w:t>
            </w:r>
            <w:r w:rsidR="00431477">
              <w:t xml:space="preserve">TCCP </w:t>
            </w:r>
            <w:r>
              <w:t>Pre</w:t>
            </w:r>
            <w:r w:rsidR="008B70DB">
              <w:t>-</w:t>
            </w:r>
            <w:r>
              <w:t xml:space="preserve">Licensure Membership </w:t>
            </w:r>
            <w:r w:rsidR="00ED53C4">
              <w:t xml:space="preserve">Dues </w:t>
            </w:r>
            <w:r>
              <w:t>Scale Outline</w:t>
            </w:r>
            <w:r w:rsidR="005133C9">
              <w:t>………………………………………</w:t>
            </w:r>
            <w:proofErr w:type="gramStart"/>
            <w:r w:rsidR="005133C9">
              <w:t>…..</w:t>
            </w:r>
            <w:proofErr w:type="gramEnd"/>
          </w:p>
        </w:tc>
        <w:tc>
          <w:tcPr>
            <w:tcW w:w="715" w:type="dxa"/>
          </w:tcPr>
          <w:p w14:paraId="03C636ED" w14:textId="5F10E3C8" w:rsidR="000B70EF" w:rsidRDefault="000B70EF" w:rsidP="000B70EF">
            <w:pPr>
              <w:jc w:val="center"/>
            </w:pPr>
            <w:r>
              <w:t>2</w:t>
            </w:r>
          </w:p>
        </w:tc>
      </w:tr>
      <w:tr w:rsidR="000B70EF" w14:paraId="3C492598" w14:textId="77777777" w:rsidTr="000B70EF">
        <w:tc>
          <w:tcPr>
            <w:tcW w:w="8635" w:type="dxa"/>
          </w:tcPr>
          <w:p w14:paraId="3C6BA1C3" w14:textId="55285C5D" w:rsidR="000B70EF" w:rsidRDefault="000B70EF" w:rsidP="000B70EF">
            <w:r>
              <w:t xml:space="preserve">    TCCP Membership </w:t>
            </w:r>
            <w:r w:rsidR="00F66230">
              <w:t>Dues Committee</w:t>
            </w:r>
            <w:r>
              <w:t xml:space="preserve"> &amp; Advisory Committee Summaries…………………………</w:t>
            </w:r>
            <w:r w:rsidR="00F66230">
              <w:t>….</w:t>
            </w:r>
            <w:r>
              <w:t>…</w:t>
            </w:r>
          </w:p>
        </w:tc>
        <w:tc>
          <w:tcPr>
            <w:tcW w:w="715" w:type="dxa"/>
          </w:tcPr>
          <w:p w14:paraId="082987BD" w14:textId="4683340C" w:rsidR="000B70EF" w:rsidRDefault="000B70EF" w:rsidP="000B70EF">
            <w:pPr>
              <w:jc w:val="center"/>
            </w:pPr>
            <w:r>
              <w:t>3</w:t>
            </w:r>
          </w:p>
        </w:tc>
      </w:tr>
      <w:tr w:rsidR="000B70EF" w14:paraId="613870A3" w14:textId="77777777" w:rsidTr="000B70EF">
        <w:tc>
          <w:tcPr>
            <w:tcW w:w="8635" w:type="dxa"/>
          </w:tcPr>
          <w:p w14:paraId="5D33FA14" w14:textId="707F6B21" w:rsidR="000B70EF" w:rsidRDefault="000B70EF" w:rsidP="000B70EF">
            <w:r>
              <w:t xml:space="preserve">    TCCP Budget………………………………………………………………………………………………………………………….</w:t>
            </w:r>
          </w:p>
        </w:tc>
        <w:tc>
          <w:tcPr>
            <w:tcW w:w="715" w:type="dxa"/>
          </w:tcPr>
          <w:p w14:paraId="2E0DC482" w14:textId="025E10D6" w:rsidR="000B70EF" w:rsidRDefault="000B70EF" w:rsidP="000B70EF">
            <w:pPr>
              <w:jc w:val="center"/>
            </w:pPr>
            <w:r>
              <w:t>4</w:t>
            </w:r>
          </w:p>
        </w:tc>
      </w:tr>
      <w:tr w:rsidR="000B70EF" w14:paraId="79320ED4" w14:textId="77777777" w:rsidTr="000B70EF">
        <w:tc>
          <w:tcPr>
            <w:tcW w:w="8635" w:type="dxa"/>
          </w:tcPr>
          <w:p w14:paraId="4D460D02" w14:textId="7FF1748D" w:rsidR="000B70EF" w:rsidRDefault="000B70EF" w:rsidP="000B70EF">
            <w:r>
              <w:t xml:space="preserve">    201</w:t>
            </w:r>
            <w:r w:rsidR="00431477">
              <w:t>6</w:t>
            </w:r>
            <w:r>
              <w:t>-2018 Pre</w:t>
            </w:r>
            <w:r w:rsidR="008B70DB">
              <w:t>-</w:t>
            </w:r>
            <w:r>
              <w:t xml:space="preserve">Licensure TCCP Membership </w:t>
            </w:r>
            <w:r w:rsidR="00ED53C4">
              <w:t xml:space="preserve">Dues </w:t>
            </w:r>
            <w:r>
              <w:t>Scale Outline……………………………………</w:t>
            </w:r>
            <w:r w:rsidR="005133C9">
              <w:t>…</w:t>
            </w:r>
            <w:proofErr w:type="gramStart"/>
            <w:r w:rsidR="005133C9">
              <w:t>…..</w:t>
            </w:r>
            <w:proofErr w:type="gramEnd"/>
          </w:p>
        </w:tc>
        <w:tc>
          <w:tcPr>
            <w:tcW w:w="715" w:type="dxa"/>
          </w:tcPr>
          <w:p w14:paraId="136DDFDE" w14:textId="3546E4B6" w:rsidR="000B70EF" w:rsidRDefault="000B70EF" w:rsidP="000B70EF">
            <w:pPr>
              <w:jc w:val="center"/>
            </w:pPr>
            <w:r>
              <w:t>5</w:t>
            </w:r>
          </w:p>
        </w:tc>
      </w:tr>
      <w:tr w:rsidR="005133C9" w14:paraId="253956A8" w14:textId="77777777" w:rsidTr="000B70EF">
        <w:tc>
          <w:tcPr>
            <w:tcW w:w="8635" w:type="dxa"/>
          </w:tcPr>
          <w:p w14:paraId="1DF7B1D9" w14:textId="10D7EF06" w:rsidR="005133C9" w:rsidRDefault="005133C9" w:rsidP="000B70EF">
            <w:r>
              <w:t xml:space="preserve">    TCCP Advisory Committee Membership </w:t>
            </w:r>
            <w:r w:rsidR="006E0BAF">
              <w:t>…………………</w:t>
            </w:r>
            <w:proofErr w:type="gramStart"/>
            <w:r>
              <w:t>…..</w:t>
            </w:r>
            <w:proofErr w:type="gramEnd"/>
            <w:r>
              <w:t>………………………………………………………..</w:t>
            </w:r>
          </w:p>
        </w:tc>
        <w:tc>
          <w:tcPr>
            <w:tcW w:w="715" w:type="dxa"/>
          </w:tcPr>
          <w:p w14:paraId="426E86E2" w14:textId="23BE3A9B" w:rsidR="005133C9" w:rsidRDefault="005133C9" w:rsidP="000B70EF">
            <w:pPr>
              <w:jc w:val="center"/>
            </w:pPr>
            <w:r>
              <w:t>6</w:t>
            </w:r>
          </w:p>
        </w:tc>
      </w:tr>
    </w:tbl>
    <w:p w14:paraId="2F443F41" w14:textId="18C397F2" w:rsidR="00AB13E9" w:rsidRDefault="005133C9" w:rsidP="000B70EF">
      <w:r>
        <w:t xml:space="preserve">      </w:t>
      </w:r>
      <w:r>
        <w:tab/>
      </w:r>
      <w:r>
        <w:tab/>
      </w:r>
      <w:r w:rsidR="00AB13E9">
        <w:br w:type="page"/>
      </w:r>
    </w:p>
    <w:p w14:paraId="4DAA3C3E" w14:textId="0906747C" w:rsidR="00AB13E9" w:rsidRPr="00DB64CE" w:rsidRDefault="00AB13E9" w:rsidP="00DB64CE">
      <w:pPr>
        <w:pStyle w:val="NoSpacing"/>
        <w:shd w:val="clear" w:color="auto" w:fill="002060"/>
        <w:jc w:val="center"/>
        <w:rPr>
          <w:b/>
          <w:color w:val="FFC000"/>
          <w:sz w:val="28"/>
          <w:szCs w:val="28"/>
        </w:rPr>
      </w:pPr>
      <w:r w:rsidRPr="00DB64CE">
        <w:rPr>
          <w:b/>
          <w:color w:val="FFC000"/>
          <w:sz w:val="28"/>
          <w:szCs w:val="28"/>
        </w:rPr>
        <w:lastRenderedPageBreak/>
        <w:t>The Clinical Coordination Partnership</w:t>
      </w:r>
    </w:p>
    <w:p w14:paraId="57AF8061" w14:textId="3B2EA86F" w:rsidR="00AB13E9" w:rsidRPr="00DB64CE" w:rsidRDefault="00DB64CE" w:rsidP="00DB64CE">
      <w:pPr>
        <w:pStyle w:val="NoSpacing"/>
        <w:shd w:val="clear" w:color="auto" w:fill="002060"/>
        <w:jc w:val="center"/>
        <w:rPr>
          <w:b/>
          <w:color w:val="FFC000"/>
          <w:sz w:val="28"/>
          <w:szCs w:val="28"/>
        </w:rPr>
      </w:pPr>
      <w:r w:rsidRPr="00DB64CE">
        <w:rPr>
          <w:b/>
          <w:color w:val="FFC000"/>
          <w:sz w:val="28"/>
          <w:szCs w:val="28"/>
        </w:rPr>
        <w:t xml:space="preserve">Pre-Licensure </w:t>
      </w:r>
      <w:r w:rsidR="00AB13E9" w:rsidRPr="00DB64CE">
        <w:rPr>
          <w:b/>
          <w:color w:val="FFC000"/>
          <w:sz w:val="28"/>
          <w:szCs w:val="28"/>
        </w:rPr>
        <w:t xml:space="preserve">Membership </w:t>
      </w:r>
      <w:r w:rsidR="00ED53C4">
        <w:rPr>
          <w:b/>
          <w:color w:val="FFC000"/>
          <w:sz w:val="28"/>
          <w:szCs w:val="28"/>
        </w:rPr>
        <w:t xml:space="preserve">Dues </w:t>
      </w:r>
      <w:r w:rsidR="00AB13E9" w:rsidRPr="00DB64CE">
        <w:rPr>
          <w:b/>
          <w:color w:val="FFC000"/>
          <w:sz w:val="28"/>
          <w:szCs w:val="28"/>
        </w:rPr>
        <w:t>Scale Outline</w:t>
      </w:r>
    </w:p>
    <w:p w14:paraId="6F16043C" w14:textId="32C91260" w:rsidR="00AB13E9" w:rsidRPr="001A2F86" w:rsidRDefault="001A2F86" w:rsidP="00DB64CE">
      <w:pPr>
        <w:pStyle w:val="NoSpacing"/>
        <w:shd w:val="clear" w:color="auto" w:fill="002060"/>
        <w:jc w:val="center"/>
        <w:rPr>
          <w:b/>
          <w:color w:val="FFC000"/>
          <w:sz w:val="24"/>
          <w:szCs w:val="24"/>
        </w:rPr>
      </w:pPr>
      <w:r w:rsidRPr="001A2F86">
        <w:rPr>
          <w:b/>
          <w:color w:val="FFC000"/>
          <w:sz w:val="24"/>
          <w:szCs w:val="24"/>
        </w:rPr>
        <w:t>2019-2022</w:t>
      </w:r>
    </w:p>
    <w:p w14:paraId="740CF143" w14:textId="2F909140" w:rsidR="00AB13E9" w:rsidRDefault="00AB13E9" w:rsidP="00AB13E9">
      <w:pPr>
        <w:pStyle w:val="NoSpacing"/>
      </w:pPr>
    </w:p>
    <w:p w14:paraId="572060FE" w14:textId="54033D16" w:rsidR="00AB13E9" w:rsidRPr="00086C4F" w:rsidRDefault="00DB64CE" w:rsidP="00AB13E9">
      <w:pPr>
        <w:pStyle w:val="NoSpacing"/>
        <w:rPr>
          <w:b/>
          <w:color w:val="002060"/>
        </w:rPr>
      </w:pPr>
      <w:r w:rsidRPr="00086C4F">
        <w:rPr>
          <w:b/>
          <w:color w:val="002060"/>
        </w:rPr>
        <w:t xml:space="preserve">Pre-Licensure </w:t>
      </w:r>
      <w:r w:rsidR="00086C4F">
        <w:rPr>
          <w:b/>
          <w:color w:val="002060"/>
        </w:rPr>
        <w:t>Membership</w:t>
      </w:r>
      <w:r w:rsidR="00ED53C4">
        <w:rPr>
          <w:b/>
          <w:color w:val="002060"/>
        </w:rPr>
        <w:t xml:space="preserve"> Dues</w:t>
      </w:r>
      <w:r w:rsidR="00086C4F">
        <w:rPr>
          <w:b/>
          <w:color w:val="002060"/>
        </w:rPr>
        <w:t xml:space="preserve"> Scale</w:t>
      </w:r>
    </w:p>
    <w:p w14:paraId="7D7A4AF8" w14:textId="724B5FD5" w:rsidR="00AB13E9" w:rsidRDefault="00AB13E9" w:rsidP="00AB13E9">
      <w:pPr>
        <w:pStyle w:val="NoSpacing"/>
      </w:pPr>
      <w:r>
        <w:t xml:space="preserve">The table below outlines the TCCP Membership </w:t>
      </w:r>
      <w:r w:rsidR="00ED53C4">
        <w:t xml:space="preserve">Dues </w:t>
      </w:r>
      <w:r>
        <w:t xml:space="preserve">Scale </w:t>
      </w:r>
      <w:r w:rsidR="001A2F86">
        <w:t>for</w:t>
      </w:r>
      <w:r>
        <w:t xml:space="preserve"> experience </w:t>
      </w:r>
      <w:r w:rsidR="001A2F86">
        <w:t xml:space="preserve">levels and </w:t>
      </w:r>
      <w:r w:rsidR="008B70DB">
        <w:t xml:space="preserve">their </w:t>
      </w:r>
      <w:r w:rsidR="001A2F86">
        <w:t>related dues</w:t>
      </w:r>
      <w:r>
        <w:t>.</w:t>
      </w:r>
      <w:r w:rsidR="0089641A">
        <w:t xml:space="preserve"> </w:t>
      </w:r>
      <w:r>
        <w:t xml:space="preserve">Activity levels are calculated by the total number of </w:t>
      </w:r>
      <w:r w:rsidR="00431477">
        <w:t>active/approved</w:t>
      </w:r>
      <w:r>
        <w:t xml:space="preserve"> group, preceptor, leadership </w:t>
      </w:r>
      <w:r w:rsidR="00431477">
        <w:t xml:space="preserve">and </w:t>
      </w:r>
      <w:r>
        <w:t>capstone experiences for the previous calendar year (denial</w:t>
      </w:r>
      <w:r w:rsidR="00431477">
        <w:t>s</w:t>
      </w:r>
      <w:r>
        <w:t xml:space="preserve"> are not included).</w:t>
      </w:r>
      <w:r w:rsidR="0089641A">
        <w:t xml:space="preserve"> </w:t>
      </w:r>
      <w:r w:rsidR="00431477">
        <w:t>Tiers</w:t>
      </w:r>
      <w:r>
        <w:t xml:space="preserve"> </w:t>
      </w:r>
      <w:r w:rsidR="008B70DB">
        <w:t xml:space="preserve">and dues </w:t>
      </w:r>
      <w:r>
        <w:t>are</w:t>
      </w:r>
      <w:r w:rsidR="008B70DB">
        <w:t xml:space="preserve"> at</w:t>
      </w:r>
      <w:r>
        <w:t xml:space="preserve"> the same </w:t>
      </w:r>
      <w:r w:rsidR="008B70DB">
        <w:t xml:space="preserve">level </w:t>
      </w:r>
      <w:r>
        <w:t>for both school and clinical site pre-licensure members.</w:t>
      </w:r>
    </w:p>
    <w:p w14:paraId="26442BE2" w14:textId="3EB06B6D" w:rsidR="00AB13E9" w:rsidRDefault="00086C4F" w:rsidP="00AB13E9">
      <w:pPr>
        <w:pStyle w:val="NoSpacing"/>
      </w:pPr>
      <w:r w:rsidRPr="00086C4F">
        <w:rPr>
          <w:i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8C9BC" wp14:editId="150666E4">
                <wp:simplePos x="0" y="0"/>
                <wp:positionH relativeFrom="column">
                  <wp:posOffset>1866900</wp:posOffset>
                </wp:positionH>
                <wp:positionV relativeFrom="paragraph">
                  <wp:posOffset>149225</wp:posOffset>
                </wp:positionV>
                <wp:extent cx="4521200" cy="26606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266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5F7E41" w14:textId="409E666C" w:rsidR="0041479D" w:rsidRPr="00086C4F" w:rsidRDefault="0041479D">
                            <w:pPr>
                              <w:rPr>
                                <w:i/>
                                <w:color w:val="002060"/>
                              </w:rPr>
                            </w:pPr>
                            <w:r w:rsidRPr="00086C4F">
                              <w:rPr>
                                <w:i/>
                                <w:color w:val="002060"/>
                              </w:rPr>
                              <w:t xml:space="preserve">Membership </w:t>
                            </w:r>
                            <w:r>
                              <w:rPr>
                                <w:i/>
                                <w:color w:val="002060"/>
                              </w:rPr>
                              <w:t xml:space="preserve">Dues </w:t>
                            </w:r>
                            <w:r w:rsidRPr="00086C4F">
                              <w:rPr>
                                <w:i/>
                                <w:color w:val="002060"/>
                              </w:rPr>
                              <w:t>Scale Calculation Notes</w:t>
                            </w:r>
                          </w:p>
                          <w:p w14:paraId="7A64F28C" w14:textId="41E41B54" w:rsidR="0041479D" w:rsidRDefault="0041479D" w:rsidP="001F7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Schools are emailed a report listing their experiences for the previous calendar year every November (4 weeks prior to dues calculation). This allows them an opportunity to submit edits to reflect actual activity.</w:t>
                            </w:r>
                          </w:p>
                          <w:p w14:paraId="2A1A866D" w14:textId="08D28096" w:rsidR="0041479D" w:rsidRDefault="0041479D" w:rsidP="001F7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Notice of membership dues amounts are distributed in January, five months prior to the invoice due date.</w:t>
                            </w:r>
                          </w:p>
                          <w:p w14:paraId="55C86DE1" w14:textId="16E0E12A" w:rsidR="0041479D" w:rsidRDefault="0041479D" w:rsidP="001F7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Membership dues are invoiced every July 1</w:t>
                            </w:r>
                            <w:r w:rsidRPr="001F7F4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 w:rsidR="0058046C">
                              <w:t>by</w:t>
                            </w:r>
                            <w:r>
                              <w:t xml:space="preserve"> the Winona State University (WSU) business offices.</w:t>
                            </w:r>
                          </w:p>
                          <w:p w14:paraId="42EC9655" w14:textId="3BA4FBBA" w:rsidR="0041479D" w:rsidRDefault="0041479D" w:rsidP="001F7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Members may submit an appeal to their membership dues amount within </w:t>
                            </w:r>
                            <w:r w:rsidR="00C51959">
                              <w:t>6</w:t>
                            </w:r>
                            <w:r>
                              <w:t>0 days after receiving the</w:t>
                            </w:r>
                            <w:r w:rsidR="0058046C">
                              <w:t>ir</w:t>
                            </w:r>
                            <w:r>
                              <w:t xml:space="preserve"> </w:t>
                            </w:r>
                            <w:r w:rsidR="0058046C">
                              <w:t>January notice of dues</w:t>
                            </w:r>
                            <w:r>
                              <w:t>.</w:t>
                            </w:r>
                          </w:p>
                          <w:p w14:paraId="36822475" w14:textId="05649C30" w:rsidR="0041479D" w:rsidRPr="001F7F4B" w:rsidRDefault="0041479D" w:rsidP="001F7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Membership dues tiers and annual rates (the table to the left) are set for a three (3) year period. Every 3</w:t>
                            </w:r>
                            <w:r w:rsidRPr="001F7F4B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year TCCP pre-licensure members will convene to re-evaluate and implement changes (last: 10/4/18)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8C9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pt;margin-top:11.75pt;width:356pt;height:2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" fillcolor="white [3201]" stroked="f" strokeweight=".5pt">
                <v:textbox>
                  <w:txbxContent>
                    <w:p w14:paraId="125F7E41" w14:textId="409E666C" w:rsidR="0041479D" w:rsidRPr="00086C4F" w:rsidRDefault="0041479D">
                      <w:pPr>
                        <w:rPr>
                          <w:i/>
                          <w:color w:val="002060"/>
                        </w:rPr>
                      </w:pPr>
                      <w:r w:rsidRPr="00086C4F">
                        <w:rPr>
                          <w:i/>
                          <w:color w:val="002060"/>
                        </w:rPr>
                        <w:t xml:space="preserve">Membership </w:t>
                      </w:r>
                      <w:r>
                        <w:rPr>
                          <w:i/>
                          <w:color w:val="002060"/>
                        </w:rPr>
                        <w:t xml:space="preserve">Dues </w:t>
                      </w:r>
                      <w:r w:rsidRPr="00086C4F">
                        <w:rPr>
                          <w:i/>
                          <w:color w:val="002060"/>
                        </w:rPr>
                        <w:t>Scale Calculation Notes</w:t>
                      </w:r>
                    </w:p>
                    <w:p w14:paraId="7A64F28C" w14:textId="41E41B54" w:rsidR="0041479D" w:rsidRDefault="0041479D" w:rsidP="001F7F4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Schools are emailed a report listing their experiences for the previous calendar year every November (4 weeks prior to dues calculation). This allows them an opportunity to submit edits to reflect actual activity.</w:t>
                      </w:r>
                    </w:p>
                    <w:p w14:paraId="2A1A866D" w14:textId="08D28096" w:rsidR="0041479D" w:rsidRDefault="0041479D" w:rsidP="001F7F4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Notice of membership dues amounts are distributed in January, five months prior to the invoice due date.</w:t>
                      </w:r>
                    </w:p>
                    <w:p w14:paraId="55C86DE1" w14:textId="16E0E12A" w:rsidR="0041479D" w:rsidRDefault="0041479D" w:rsidP="001F7F4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Membership dues are invoiced every July 1</w:t>
                      </w:r>
                      <w:r w:rsidRPr="001F7F4B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 w:rsidR="0058046C">
                        <w:t>by</w:t>
                      </w:r>
                      <w:r>
                        <w:t xml:space="preserve"> the Winona State University (WSU) business offices.</w:t>
                      </w:r>
                    </w:p>
                    <w:p w14:paraId="42EC9655" w14:textId="3BA4FBBA" w:rsidR="0041479D" w:rsidRDefault="0041479D" w:rsidP="001F7F4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Members may submit an appeal to their membership dues amount within </w:t>
                      </w:r>
                      <w:r w:rsidR="00C51959">
                        <w:t>6</w:t>
                      </w:r>
                      <w:r>
                        <w:t>0 days after receiving the</w:t>
                      </w:r>
                      <w:r w:rsidR="0058046C">
                        <w:t>ir</w:t>
                      </w:r>
                      <w:r>
                        <w:t xml:space="preserve"> </w:t>
                      </w:r>
                      <w:r w:rsidR="0058046C">
                        <w:t>January notice of dues</w:t>
                      </w:r>
                      <w:r>
                        <w:t>.</w:t>
                      </w:r>
                    </w:p>
                    <w:p w14:paraId="36822475" w14:textId="05649C30" w:rsidR="0041479D" w:rsidRPr="001F7F4B" w:rsidRDefault="0041479D" w:rsidP="001F7F4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Membership dues t</w:t>
                      </w:r>
                      <w:bookmarkStart w:id="1" w:name="_GoBack"/>
                      <w:bookmarkEnd w:id="1"/>
                      <w:r>
                        <w:t>iers and annual rates (the table to the left) are set for a three (3) year period. Every 3</w:t>
                      </w:r>
                      <w:r w:rsidRPr="001F7F4B">
                        <w:rPr>
                          <w:vertAlign w:val="superscript"/>
                        </w:rPr>
                        <w:t>rd</w:t>
                      </w:r>
                      <w:r>
                        <w:t xml:space="preserve"> year TCCP pre-licensure members will convene to re-evaluate and implement changes (last: 10/4/18)</w:t>
                      </w:r>
                    </w:p>
                  </w:txbxContent>
                </v:textbox>
              </v:shape>
            </w:pict>
          </mc:Fallback>
        </mc:AlternateContent>
      </w:r>
    </w:p>
    <w:p w14:paraId="32F0D537" w14:textId="3A9CB1ED" w:rsidR="00AB13E9" w:rsidRPr="00AB13E9" w:rsidRDefault="00086C4F" w:rsidP="00AB13E9">
      <w:pPr>
        <w:pStyle w:val="NoSpacing"/>
        <w:rPr>
          <w:i/>
        </w:rPr>
      </w:pPr>
      <w:r>
        <w:rPr>
          <w:i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FDADF" wp14:editId="71C5CD31">
                <wp:simplePos x="0" y="0"/>
                <wp:positionH relativeFrom="column">
                  <wp:posOffset>1879600</wp:posOffset>
                </wp:positionH>
                <wp:positionV relativeFrom="paragraph">
                  <wp:posOffset>2614930</wp:posOffset>
                </wp:positionV>
                <wp:extent cx="4572000" cy="2457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8E787" w14:textId="74434DA0" w:rsidR="0041479D" w:rsidRPr="00086C4F" w:rsidRDefault="0041479D">
                            <w:pPr>
                              <w:rPr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i/>
                                <w:color w:val="002060"/>
                              </w:rPr>
                              <w:t>What Pre-Licensure TCCP Membership Dues Fund</w:t>
                            </w:r>
                          </w:p>
                          <w:p w14:paraId="68281A96" w14:textId="6A177D90" w:rsidR="0041479D" w:rsidRDefault="004147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19CB33" wp14:editId="3373AE5B">
                                  <wp:extent cx="3886200" cy="2063750"/>
                                  <wp:effectExtent l="0" t="0" r="0" b="12700"/>
                                  <wp:docPr id="3" name="Chart 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DADF" id="Text Box 2" o:spid="_x0000_s1027" type="#_x0000_t202" style="position:absolute;margin-left:148pt;margin-top:205.9pt;width:5in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" fillcolor="white [3201]" stroked="f" strokeweight=".5pt">
                <v:textbox>
                  <w:txbxContent>
                    <w:p w14:paraId="2238E787" w14:textId="74434DA0" w:rsidR="0041479D" w:rsidRPr="00086C4F" w:rsidRDefault="0041479D">
                      <w:pPr>
                        <w:rPr>
                          <w:i/>
                          <w:color w:val="002060"/>
                        </w:rPr>
                      </w:pPr>
                      <w:r>
                        <w:rPr>
                          <w:i/>
                          <w:color w:val="002060"/>
                        </w:rPr>
                        <w:t>What Pre-Licensure TCCP Membership Dues Fund</w:t>
                      </w:r>
                    </w:p>
                    <w:p w14:paraId="68281A96" w14:textId="6A177D90" w:rsidR="0041479D" w:rsidRDefault="0041479D">
                      <w:r>
                        <w:rPr>
                          <w:noProof/>
                        </w:rPr>
                        <w:drawing>
                          <wp:inline distT="0" distB="0" distL="0" distR="0" wp14:anchorId="5319CB33" wp14:editId="3373AE5B">
                            <wp:extent cx="3886200" cy="2063750"/>
                            <wp:effectExtent l="0" t="0" r="0" b="12700"/>
                            <wp:docPr id="3" name="Chart 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13E9" w:rsidRPr="00086C4F">
        <w:rPr>
          <w:i/>
          <w:color w:val="002060"/>
        </w:rPr>
        <w:t>2019-202</w:t>
      </w:r>
      <w:r w:rsidR="0049525D">
        <w:rPr>
          <w:i/>
          <w:color w:val="002060"/>
        </w:rPr>
        <w:t>1</w:t>
      </w:r>
      <w:r w:rsidR="00ED53C4">
        <w:rPr>
          <w:i/>
          <w:color w:val="002060"/>
        </w:rPr>
        <w:t xml:space="preserve"> Member Dues</w:t>
      </w:r>
      <w:r w:rsidR="00AB13E9" w:rsidRPr="00086C4F">
        <w:rPr>
          <w:i/>
          <w:color w:val="002060"/>
        </w:rPr>
        <w:t xml:space="preserve"> Scale</w:t>
      </w:r>
    </w:p>
    <w:tbl>
      <w:tblPr>
        <w:tblW w:w="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355"/>
        <w:gridCol w:w="887"/>
      </w:tblGrid>
      <w:tr w:rsidR="00AB13E9" w:rsidRPr="00AB13E9" w14:paraId="01B0D3A0" w14:textId="77777777" w:rsidTr="00AB13E9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161CB5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9583B3F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1051+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58E5C484" w14:textId="77777777" w:rsidR="00AB13E9" w:rsidRPr="00AB13E9" w:rsidRDefault="00AB13E9" w:rsidP="00AB1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14,175</w:t>
            </w:r>
          </w:p>
        </w:tc>
      </w:tr>
      <w:tr w:rsidR="00AB13E9" w:rsidRPr="00AB13E9" w14:paraId="11D478E6" w14:textId="77777777" w:rsidTr="00AB13E9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7B3422A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2FE496F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1001-1050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605401C3" w14:textId="77777777" w:rsidR="00AB13E9" w:rsidRPr="00AB13E9" w:rsidRDefault="00AB13E9" w:rsidP="00AB1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13,650</w:t>
            </w:r>
          </w:p>
        </w:tc>
      </w:tr>
      <w:tr w:rsidR="00AB13E9" w:rsidRPr="00AB13E9" w14:paraId="73B9F823" w14:textId="77777777" w:rsidTr="00AB13E9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F2EC7FA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0BA930A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951-1000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70A7E2F0" w14:textId="77777777" w:rsidR="00AB13E9" w:rsidRPr="00AB13E9" w:rsidRDefault="00AB13E9" w:rsidP="00AB1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13,125</w:t>
            </w:r>
          </w:p>
        </w:tc>
      </w:tr>
      <w:tr w:rsidR="00AB13E9" w:rsidRPr="00AB13E9" w14:paraId="71DF4448" w14:textId="77777777" w:rsidTr="00AB13E9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07146BC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4B3630D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901-950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00EBD1E1" w14:textId="77777777" w:rsidR="00AB13E9" w:rsidRPr="00AB13E9" w:rsidRDefault="00AB13E9" w:rsidP="00AB1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12,600</w:t>
            </w:r>
          </w:p>
        </w:tc>
      </w:tr>
      <w:tr w:rsidR="00AB13E9" w:rsidRPr="00AB13E9" w14:paraId="31C55F9C" w14:textId="77777777" w:rsidTr="00AB13E9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D4B6A0E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1306FAD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851-900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6A3942D2" w14:textId="77777777" w:rsidR="00AB13E9" w:rsidRPr="00AB13E9" w:rsidRDefault="00AB13E9" w:rsidP="00AB1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12,075</w:t>
            </w:r>
          </w:p>
        </w:tc>
      </w:tr>
      <w:tr w:rsidR="00AB13E9" w:rsidRPr="00AB13E9" w14:paraId="0C065874" w14:textId="77777777" w:rsidTr="00AB13E9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BF1BE08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4143B5C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801-850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1735F50B" w14:textId="77777777" w:rsidR="00AB13E9" w:rsidRPr="00AB13E9" w:rsidRDefault="00AB13E9" w:rsidP="00AB1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11,550</w:t>
            </w:r>
          </w:p>
        </w:tc>
      </w:tr>
      <w:tr w:rsidR="00AB13E9" w:rsidRPr="00AB13E9" w14:paraId="30942385" w14:textId="77777777" w:rsidTr="00AB13E9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7C091E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376BFD5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751-800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6DAA127C" w14:textId="77777777" w:rsidR="00AB13E9" w:rsidRPr="00AB13E9" w:rsidRDefault="00AB13E9" w:rsidP="00AB1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11,025</w:t>
            </w:r>
          </w:p>
        </w:tc>
      </w:tr>
      <w:tr w:rsidR="00AB13E9" w:rsidRPr="00AB13E9" w14:paraId="63A4860E" w14:textId="77777777" w:rsidTr="00AB13E9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E23848D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3A0E9E4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701-750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7F39B368" w14:textId="77777777" w:rsidR="00AB13E9" w:rsidRPr="00AB13E9" w:rsidRDefault="00AB13E9" w:rsidP="00AB1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10,500</w:t>
            </w:r>
          </w:p>
        </w:tc>
      </w:tr>
      <w:tr w:rsidR="00AB13E9" w:rsidRPr="00AB13E9" w14:paraId="096CBDBA" w14:textId="77777777" w:rsidTr="00AB13E9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9B7A8DE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5D6280F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651-700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13CBB85F" w14:textId="77777777" w:rsidR="00AB13E9" w:rsidRPr="00AB13E9" w:rsidRDefault="00AB13E9" w:rsidP="00AB1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9,975</w:t>
            </w:r>
          </w:p>
        </w:tc>
      </w:tr>
      <w:tr w:rsidR="00AB13E9" w:rsidRPr="00AB13E9" w14:paraId="40A71DB2" w14:textId="77777777" w:rsidTr="00AB13E9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BB7384D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EF7B080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601-650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6F3ADFC3" w14:textId="77777777" w:rsidR="00AB13E9" w:rsidRPr="00AB13E9" w:rsidRDefault="00AB13E9" w:rsidP="00AB1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9,450</w:t>
            </w:r>
          </w:p>
        </w:tc>
      </w:tr>
      <w:tr w:rsidR="00AB13E9" w:rsidRPr="00AB13E9" w14:paraId="4B08A8A4" w14:textId="77777777" w:rsidTr="00AB13E9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2B1831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E4C0A89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551-600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663CF179" w14:textId="77777777" w:rsidR="00AB13E9" w:rsidRPr="00AB13E9" w:rsidRDefault="00AB13E9" w:rsidP="00AB1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8,925</w:t>
            </w:r>
          </w:p>
        </w:tc>
      </w:tr>
      <w:tr w:rsidR="00AB13E9" w:rsidRPr="00AB13E9" w14:paraId="71DB9D11" w14:textId="77777777" w:rsidTr="00AB13E9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63A74D2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BA05C94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501-550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420C6DC3" w14:textId="77777777" w:rsidR="00AB13E9" w:rsidRPr="00AB13E9" w:rsidRDefault="00AB13E9" w:rsidP="00AB1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8,400</w:t>
            </w:r>
          </w:p>
        </w:tc>
      </w:tr>
      <w:tr w:rsidR="00AB13E9" w:rsidRPr="00AB13E9" w14:paraId="7540D6B0" w14:textId="77777777" w:rsidTr="00AB13E9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1257D1B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63D25E2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451-500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52E34E54" w14:textId="77777777" w:rsidR="00AB13E9" w:rsidRPr="00AB13E9" w:rsidRDefault="00AB13E9" w:rsidP="00AB1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7,875</w:t>
            </w:r>
          </w:p>
        </w:tc>
      </w:tr>
      <w:tr w:rsidR="00AB13E9" w:rsidRPr="00AB13E9" w14:paraId="0FDC426F" w14:textId="77777777" w:rsidTr="00AB13E9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3790689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4FCA57C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401-450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4B657F95" w14:textId="77777777" w:rsidR="00AB13E9" w:rsidRPr="00AB13E9" w:rsidRDefault="00AB13E9" w:rsidP="00AB1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7,350</w:t>
            </w:r>
          </w:p>
        </w:tc>
      </w:tr>
      <w:tr w:rsidR="00AB13E9" w:rsidRPr="00AB13E9" w14:paraId="0CE2FB96" w14:textId="77777777" w:rsidTr="00AB13E9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ED64DC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142F8CE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351-400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214FC91C" w14:textId="77777777" w:rsidR="00AB13E9" w:rsidRPr="00AB13E9" w:rsidRDefault="00AB13E9" w:rsidP="00AB1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6,825</w:t>
            </w:r>
          </w:p>
        </w:tc>
      </w:tr>
      <w:tr w:rsidR="00AB13E9" w:rsidRPr="00AB13E9" w14:paraId="03BFAB7D" w14:textId="77777777" w:rsidTr="00AB13E9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ADA56BF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53ED280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301-350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761E4EBD" w14:textId="77777777" w:rsidR="00AB13E9" w:rsidRPr="00AB13E9" w:rsidRDefault="00AB13E9" w:rsidP="00AB1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6,300</w:t>
            </w:r>
          </w:p>
        </w:tc>
      </w:tr>
      <w:tr w:rsidR="00AB13E9" w:rsidRPr="00AB13E9" w14:paraId="7D79E82F" w14:textId="77777777" w:rsidTr="00AB13E9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B229394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884854F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251-300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7EFAFAF1" w14:textId="77777777" w:rsidR="00AB13E9" w:rsidRPr="00AB13E9" w:rsidRDefault="00AB13E9" w:rsidP="00AB1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5,775</w:t>
            </w:r>
          </w:p>
        </w:tc>
      </w:tr>
      <w:tr w:rsidR="00AB13E9" w:rsidRPr="00AB13E9" w14:paraId="6861C44A" w14:textId="77777777" w:rsidTr="00AB13E9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8CD3DFF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4D04146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201-250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4464C18B" w14:textId="77777777" w:rsidR="00AB13E9" w:rsidRPr="00AB13E9" w:rsidRDefault="00AB13E9" w:rsidP="00AB1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5,250</w:t>
            </w:r>
          </w:p>
        </w:tc>
      </w:tr>
      <w:tr w:rsidR="00AB13E9" w:rsidRPr="00AB13E9" w14:paraId="67ABD539" w14:textId="77777777" w:rsidTr="00AB13E9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9B44013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30ACFAC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151-200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30CDF139" w14:textId="77777777" w:rsidR="00AB13E9" w:rsidRPr="00AB13E9" w:rsidRDefault="00AB13E9" w:rsidP="00AB1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4,725</w:t>
            </w:r>
          </w:p>
        </w:tc>
      </w:tr>
      <w:tr w:rsidR="00AB13E9" w:rsidRPr="00AB13E9" w14:paraId="3FE5D484" w14:textId="77777777" w:rsidTr="00AB13E9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1FCA6B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CA53520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101-150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78F3E6B0" w14:textId="77777777" w:rsidR="00AB13E9" w:rsidRPr="00AB13E9" w:rsidRDefault="00AB13E9" w:rsidP="00AB1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4,200</w:t>
            </w:r>
          </w:p>
        </w:tc>
      </w:tr>
      <w:tr w:rsidR="00AB13E9" w:rsidRPr="00AB13E9" w14:paraId="2CC8CE19" w14:textId="77777777" w:rsidTr="00AB13E9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F16990D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0FA8467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51-100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35B646D9" w14:textId="77777777" w:rsidR="00AB13E9" w:rsidRPr="00AB13E9" w:rsidRDefault="00AB13E9" w:rsidP="00AB1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3,675</w:t>
            </w:r>
          </w:p>
        </w:tc>
      </w:tr>
      <w:tr w:rsidR="00AB13E9" w:rsidRPr="00AB13E9" w14:paraId="040C9736" w14:textId="77777777" w:rsidTr="00AB13E9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E9751B3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E2617D7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19-50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166D8ED1" w14:textId="77777777" w:rsidR="00AB13E9" w:rsidRPr="00AB13E9" w:rsidRDefault="00AB13E9" w:rsidP="00AB1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3,150</w:t>
            </w:r>
          </w:p>
        </w:tc>
      </w:tr>
      <w:tr w:rsidR="00AB13E9" w:rsidRPr="00AB13E9" w14:paraId="565961FE" w14:textId="77777777" w:rsidTr="00AB13E9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119754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1355" w:type="dxa"/>
            <w:shd w:val="clear" w:color="000000" w:fill="FFFFFF"/>
            <w:noWrap/>
            <w:vAlign w:val="bottom"/>
            <w:hideMark/>
          </w:tcPr>
          <w:p w14:paraId="27E771DF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&lt;19</w:t>
            </w:r>
          </w:p>
        </w:tc>
        <w:tc>
          <w:tcPr>
            <w:tcW w:w="565" w:type="dxa"/>
            <w:shd w:val="clear" w:color="000000" w:fill="FFFFFF"/>
            <w:noWrap/>
            <w:vAlign w:val="bottom"/>
            <w:hideMark/>
          </w:tcPr>
          <w:p w14:paraId="75083154" w14:textId="77777777" w:rsidR="00AB13E9" w:rsidRPr="00AB13E9" w:rsidRDefault="00AB13E9" w:rsidP="00A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200/Exp</w:t>
            </w:r>
          </w:p>
        </w:tc>
      </w:tr>
    </w:tbl>
    <w:p w14:paraId="48AC5813" w14:textId="4C5DBA86" w:rsidR="00AB13E9" w:rsidRDefault="00AB13E9" w:rsidP="00AB13E9">
      <w:pPr>
        <w:pStyle w:val="NoSpacing"/>
      </w:pPr>
    </w:p>
    <w:p w14:paraId="42C98BE8" w14:textId="2F734505" w:rsidR="00086C4F" w:rsidRDefault="00086C4F" w:rsidP="00AB13E9">
      <w:pPr>
        <w:pStyle w:val="NoSpacing"/>
      </w:pPr>
    </w:p>
    <w:p w14:paraId="742B9E5D" w14:textId="486755EA" w:rsidR="00086C4F" w:rsidRDefault="00086C4F" w:rsidP="00AB13E9">
      <w:pPr>
        <w:pStyle w:val="NoSpacing"/>
      </w:pPr>
    </w:p>
    <w:p w14:paraId="6F890F68" w14:textId="265004C1" w:rsidR="00086C4F" w:rsidRPr="002E5EB4" w:rsidRDefault="00576614" w:rsidP="00086C4F">
      <w:pPr>
        <w:pStyle w:val="NoSpacing"/>
        <w:rPr>
          <w:i/>
          <w:color w:val="002060"/>
        </w:rPr>
      </w:pPr>
      <w:r w:rsidRPr="002E5EB4">
        <w:rPr>
          <w:i/>
          <w:color w:val="002060"/>
        </w:rPr>
        <w:t>How to Calculate</w:t>
      </w:r>
    </w:p>
    <w:p w14:paraId="66D32472" w14:textId="626F6024" w:rsidR="00576614" w:rsidRDefault="0021384B" w:rsidP="00086C4F">
      <w:pPr>
        <w:pStyle w:val="NoSpacing"/>
      </w:pPr>
      <w:r>
        <w:t xml:space="preserve">Notice of </w:t>
      </w:r>
      <w:r w:rsidR="00F66230">
        <w:t>which tier</w:t>
      </w:r>
      <w:r>
        <w:t xml:space="preserve"> members fall</w:t>
      </w:r>
      <w:r w:rsidR="00F66230">
        <w:t xml:space="preserve"> under</w:t>
      </w:r>
      <w:r>
        <w:t xml:space="preserve"> in the Membership Dues </w:t>
      </w:r>
      <w:r w:rsidR="00F66230">
        <w:t>Scale</w:t>
      </w:r>
      <w:r>
        <w:t xml:space="preserve"> will be sent in January 2019</w:t>
      </w:r>
      <w:r w:rsidR="002A77FA">
        <w:t xml:space="preserve"> (based on calendar year 2018 data)</w:t>
      </w:r>
      <w:r>
        <w:t>.</w:t>
      </w:r>
      <w:r w:rsidR="002A77FA">
        <w:t xml:space="preserve"> </w:t>
      </w:r>
      <w:r>
        <w:t xml:space="preserve">If members would like to see </w:t>
      </w:r>
      <w:r w:rsidR="008B70DB">
        <w:t>which of the new tiers</w:t>
      </w:r>
      <w:r>
        <w:t xml:space="preserve"> they would have fallen </w:t>
      </w:r>
      <w:r w:rsidR="008B70DB">
        <w:t xml:space="preserve">under </w:t>
      </w:r>
      <w:r>
        <w:t xml:space="preserve">the </w:t>
      </w:r>
      <w:r w:rsidR="008B70DB">
        <w:t>previous</w:t>
      </w:r>
      <w:r>
        <w:t xml:space="preserve"> </w:t>
      </w:r>
      <w:r w:rsidR="002A77FA">
        <w:t>year</w:t>
      </w:r>
      <w:r w:rsidR="008B70DB">
        <w:t>,</w:t>
      </w:r>
      <w:r>
        <w:t xml:space="preserve"> they may either look </w:t>
      </w:r>
      <w:r w:rsidR="008B70DB">
        <w:t>at</w:t>
      </w:r>
      <w:r>
        <w:t xml:space="preserve"> their past year’s dues notice for the total </w:t>
      </w:r>
      <w:r w:rsidR="008B70DB">
        <w:t>experiences</w:t>
      </w:r>
      <w:r>
        <w:t xml:space="preserve"> calculated</w:t>
      </w:r>
      <w:r w:rsidR="008B70DB">
        <w:t>,</w:t>
      </w:r>
      <w:r>
        <w:t xml:space="preserve"> or they may </w:t>
      </w:r>
      <w:r w:rsidR="002A77FA">
        <w:t>find that information in</w:t>
      </w:r>
      <w:r>
        <w:t xml:space="preserve"> the </w:t>
      </w:r>
      <w:proofErr w:type="spellStart"/>
      <w:r>
        <w:t>StudentLink</w:t>
      </w:r>
      <w:proofErr w:type="spellEnd"/>
      <w:r>
        <w:t xml:space="preserve"> system</w:t>
      </w:r>
      <w:r w:rsidR="008B70DB">
        <w:t>:</w:t>
      </w:r>
      <w:r>
        <w:t xml:space="preserve"> </w:t>
      </w:r>
      <w:r w:rsidR="002A77FA">
        <w:t>pull</w:t>
      </w:r>
      <w:r>
        <w:t xml:space="preserve"> th</w:t>
      </w:r>
      <w:r w:rsidR="008B70DB">
        <w:t>e active/approved</w:t>
      </w:r>
      <w:r>
        <w:t xml:space="preserve"> group, preceptor, leadership, and capstone experiences for 2017.</w:t>
      </w:r>
      <w:r w:rsidR="0089641A">
        <w:t xml:space="preserve"> </w:t>
      </w:r>
      <w:r>
        <w:t>Export this information to your computer</w:t>
      </w:r>
      <w:r w:rsidR="002A77FA">
        <w:t>,</w:t>
      </w:r>
      <w:r>
        <w:t xml:space="preserve"> then at the </w:t>
      </w:r>
      <w:r w:rsidR="002A77FA">
        <w:t>bottom of</w:t>
      </w:r>
      <w:r>
        <w:t xml:space="preserve"> the Number column </w:t>
      </w:r>
      <w:r w:rsidR="002A77FA">
        <w:t>use</w:t>
      </w:r>
      <w:r>
        <w:t xml:space="preserve"> the Sum (</w:t>
      </w:r>
      <w:r>
        <w:rPr>
          <w:rFonts w:cstheme="minorHAnsi"/>
        </w:rPr>
        <w:t>∑</w:t>
      </w:r>
      <w:r>
        <w:t>) function for that column’s total.</w:t>
      </w:r>
      <w:r w:rsidR="0089641A">
        <w:t xml:space="preserve"> </w:t>
      </w:r>
      <w:r>
        <w:t>That w</w:t>
      </w:r>
      <w:r w:rsidR="002A77FA">
        <w:t>ill</w:t>
      </w:r>
      <w:r>
        <w:t xml:space="preserve"> be the same number used by TCCP staff to determine your </w:t>
      </w:r>
      <w:r w:rsidR="00F66230">
        <w:t>tier</w:t>
      </w:r>
      <w:r>
        <w:t>.</w:t>
      </w:r>
    </w:p>
    <w:p w14:paraId="30A75E34" w14:textId="77777777" w:rsidR="0021384B" w:rsidRDefault="0021384B" w:rsidP="00086C4F">
      <w:pPr>
        <w:pStyle w:val="NoSpacing"/>
      </w:pPr>
    </w:p>
    <w:p w14:paraId="25544974" w14:textId="099EE7FF" w:rsidR="002A77FA" w:rsidRDefault="00086C4F" w:rsidP="00086C4F">
      <w:pPr>
        <w:pStyle w:val="NoSpacing"/>
        <w:jc w:val="center"/>
        <w:rPr>
          <w:i/>
          <w:color w:val="002060"/>
        </w:rPr>
      </w:pPr>
      <w:r w:rsidRPr="00086C4F">
        <w:rPr>
          <w:i/>
          <w:color w:val="002060"/>
        </w:rPr>
        <w:t>For questions or more information</w:t>
      </w:r>
      <w:r w:rsidR="002A77FA">
        <w:rPr>
          <w:i/>
          <w:color w:val="002060"/>
        </w:rPr>
        <w:t>,</w:t>
      </w:r>
      <w:r w:rsidRPr="00086C4F">
        <w:rPr>
          <w:i/>
          <w:color w:val="002060"/>
        </w:rPr>
        <w:t xml:space="preserve"> contact Elizabeth Biel, TCCP Executive Director, at eabiel@winona.edu or 507.429.6653.</w:t>
      </w:r>
    </w:p>
    <w:p w14:paraId="3036D68A" w14:textId="77777777" w:rsidR="002A77FA" w:rsidRDefault="002A77FA">
      <w:pPr>
        <w:rPr>
          <w:i/>
          <w:color w:val="002060"/>
        </w:rPr>
      </w:pPr>
      <w:r>
        <w:rPr>
          <w:i/>
          <w:color w:val="002060"/>
        </w:rPr>
        <w:br w:type="page"/>
      </w:r>
    </w:p>
    <w:p w14:paraId="123EADD1" w14:textId="77777777" w:rsidR="00086C4F" w:rsidRDefault="00086C4F" w:rsidP="00086C4F">
      <w:pPr>
        <w:pStyle w:val="NoSpacing"/>
        <w:jc w:val="center"/>
        <w:rPr>
          <w:i/>
          <w:color w:val="002060"/>
        </w:rPr>
      </w:pPr>
    </w:p>
    <w:p w14:paraId="3013E515" w14:textId="77777777" w:rsidR="00E434DA" w:rsidRPr="00B54993" w:rsidRDefault="00E434DA" w:rsidP="00E434DA">
      <w:pPr>
        <w:pStyle w:val="NoSpacing"/>
        <w:shd w:val="clear" w:color="auto" w:fill="002060"/>
        <w:jc w:val="center"/>
        <w:rPr>
          <w:rFonts w:ascii="Arial" w:hAnsi="Arial" w:cs="Arial"/>
          <w:color w:val="FFC000"/>
          <w:sz w:val="28"/>
          <w:szCs w:val="28"/>
        </w:rPr>
      </w:pPr>
      <w:r w:rsidRPr="00B54993">
        <w:rPr>
          <w:rFonts w:ascii="Arial" w:hAnsi="Arial" w:cs="Arial"/>
          <w:color w:val="FFC000"/>
          <w:sz w:val="28"/>
          <w:szCs w:val="28"/>
        </w:rPr>
        <w:t>The Clinical Coordination Partnership</w:t>
      </w:r>
    </w:p>
    <w:p w14:paraId="06481DE4" w14:textId="088E5769" w:rsidR="00E434DA" w:rsidRPr="00B54993" w:rsidRDefault="00E434DA" w:rsidP="00E434DA">
      <w:pPr>
        <w:pStyle w:val="NoSpacing"/>
        <w:shd w:val="clear" w:color="auto" w:fill="002060"/>
        <w:jc w:val="center"/>
        <w:rPr>
          <w:rFonts w:ascii="Arial" w:hAnsi="Arial" w:cs="Arial"/>
          <w:color w:val="FFC000"/>
          <w:sz w:val="28"/>
          <w:szCs w:val="28"/>
        </w:rPr>
      </w:pPr>
      <w:r w:rsidRPr="00B54993">
        <w:rPr>
          <w:rFonts w:ascii="Arial" w:hAnsi="Arial" w:cs="Arial"/>
          <w:color w:val="FFC000"/>
          <w:sz w:val="28"/>
          <w:szCs w:val="28"/>
        </w:rPr>
        <w:t xml:space="preserve">Membership </w:t>
      </w:r>
      <w:r w:rsidR="00F66230">
        <w:rPr>
          <w:rFonts w:ascii="Arial" w:hAnsi="Arial" w:cs="Arial"/>
          <w:color w:val="FFC000"/>
          <w:sz w:val="28"/>
          <w:szCs w:val="28"/>
        </w:rPr>
        <w:t xml:space="preserve">Dues Committee and Advisory </w:t>
      </w:r>
      <w:r w:rsidRPr="00B54993">
        <w:rPr>
          <w:rFonts w:ascii="Arial" w:hAnsi="Arial" w:cs="Arial"/>
          <w:color w:val="FFC000"/>
          <w:sz w:val="28"/>
          <w:szCs w:val="28"/>
        </w:rPr>
        <w:t xml:space="preserve">Committee </w:t>
      </w:r>
      <w:r w:rsidR="00F66230">
        <w:rPr>
          <w:rFonts w:ascii="Arial" w:hAnsi="Arial" w:cs="Arial"/>
          <w:color w:val="FFC000"/>
          <w:sz w:val="28"/>
          <w:szCs w:val="28"/>
        </w:rPr>
        <w:t>Summaries</w:t>
      </w:r>
    </w:p>
    <w:p w14:paraId="17AF5D57" w14:textId="2DA9576E" w:rsidR="00E434DA" w:rsidRPr="00B54993" w:rsidRDefault="00F66230" w:rsidP="00E434DA">
      <w:pPr>
        <w:pStyle w:val="NoSpacing"/>
        <w:shd w:val="clear" w:color="auto" w:fill="002060"/>
        <w:jc w:val="center"/>
        <w:rPr>
          <w:rFonts w:ascii="Arial" w:hAnsi="Arial" w:cs="Arial"/>
          <w:color w:val="FFC000"/>
        </w:rPr>
      </w:pPr>
      <w:r>
        <w:rPr>
          <w:rFonts w:ascii="Arial" w:hAnsi="Arial" w:cs="Arial"/>
          <w:color w:val="FFC000"/>
        </w:rPr>
        <w:t>October/</w:t>
      </w:r>
      <w:r w:rsidR="00E434DA">
        <w:rPr>
          <w:rFonts w:ascii="Arial" w:hAnsi="Arial" w:cs="Arial"/>
          <w:color w:val="FFC000"/>
        </w:rPr>
        <w:t>November 2018</w:t>
      </w:r>
    </w:p>
    <w:p w14:paraId="2DF9BD19" w14:textId="77777777" w:rsidR="00E434DA" w:rsidRDefault="00E434DA" w:rsidP="00E434DA"/>
    <w:p w14:paraId="3C6E3BA9" w14:textId="13E8B41B" w:rsidR="00E434DA" w:rsidRPr="00E434DA" w:rsidRDefault="00E434DA" w:rsidP="00E434DA">
      <w:pPr>
        <w:pStyle w:val="NoSpacing"/>
        <w:rPr>
          <w:i/>
          <w:color w:val="002060"/>
        </w:rPr>
      </w:pPr>
      <w:r>
        <w:rPr>
          <w:i/>
          <w:color w:val="002060"/>
        </w:rPr>
        <w:t xml:space="preserve">October 4, 2018 </w:t>
      </w:r>
      <w:r w:rsidRPr="00E434DA">
        <w:rPr>
          <w:i/>
          <w:color w:val="002060"/>
        </w:rPr>
        <w:t>Brief Background</w:t>
      </w:r>
    </w:p>
    <w:p w14:paraId="6BF38527" w14:textId="44089B74" w:rsidR="00E434DA" w:rsidRDefault="00E434DA" w:rsidP="00E434DA">
      <w:pPr>
        <w:pStyle w:val="NoSpacing"/>
        <w:rPr>
          <w:rFonts w:cstheme="minorHAnsi"/>
        </w:rPr>
      </w:pPr>
      <w:r>
        <w:t>According to TCCP Bylaws</w:t>
      </w:r>
      <w:r w:rsidR="00ED53C4">
        <w:rPr>
          <w:rFonts w:cstheme="minorHAnsi"/>
        </w:rPr>
        <w:t>:</w:t>
      </w:r>
      <w:r w:rsidRPr="00B54993">
        <w:rPr>
          <w:rFonts w:cstheme="minorHAnsi"/>
        </w:rPr>
        <w:t xml:space="preserve"> </w:t>
      </w:r>
      <w:r>
        <w:rPr>
          <w:rFonts w:cstheme="minorHAnsi"/>
        </w:rPr>
        <w:t>“e</w:t>
      </w:r>
      <w:r w:rsidRPr="00B54993">
        <w:rPr>
          <w:rFonts w:cstheme="minorHAnsi"/>
        </w:rPr>
        <w:t>very three years of an actualized budget the membership rates of the TCCP will be evaluated.</w:t>
      </w:r>
      <w:r w:rsidR="0089641A">
        <w:rPr>
          <w:rFonts w:cstheme="minorHAnsi"/>
        </w:rPr>
        <w:t xml:space="preserve"> </w:t>
      </w:r>
      <w:r w:rsidRPr="00B54993">
        <w:rPr>
          <w:rFonts w:cstheme="minorHAnsi"/>
        </w:rPr>
        <w:t>Members of this committee are open to the entire membership.</w:t>
      </w:r>
      <w:r w:rsidR="0089641A">
        <w:rPr>
          <w:rFonts w:cstheme="minorHAnsi"/>
        </w:rPr>
        <w:t xml:space="preserve"> </w:t>
      </w:r>
      <w:r w:rsidRPr="00B54993">
        <w:rPr>
          <w:rFonts w:cstheme="minorHAnsi"/>
        </w:rPr>
        <w:t xml:space="preserve">Recommendations will be taken into consideration by the </w:t>
      </w:r>
      <w:r w:rsidR="00ED53C4">
        <w:rPr>
          <w:rFonts w:cstheme="minorHAnsi"/>
        </w:rPr>
        <w:t>A</w:t>
      </w:r>
      <w:r w:rsidRPr="00B54993">
        <w:rPr>
          <w:rFonts w:cstheme="minorHAnsi"/>
        </w:rPr>
        <w:t xml:space="preserve">dvisory </w:t>
      </w:r>
      <w:r w:rsidR="00ED53C4">
        <w:rPr>
          <w:rFonts w:cstheme="minorHAnsi"/>
        </w:rPr>
        <w:t>C</w:t>
      </w:r>
      <w:r w:rsidRPr="00B54993">
        <w:rPr>
          <w:rFonts w:cstheme="minorHAnsi"/>
        </w:rPr>
        <w:t>ommittee as they determine changes to the TCCP membership rate structure.</w:t>
      </w:r>
      <w:r w:rsidR="0089641A">
        <w:rPr>
          <w:rFonts w:cstheme="minorHAnsi"/>
        </w:rPr>
        <w:t xml:space="preserve"> </w:t>
      </w:r>
      <w:r w:rsidRPr="00B54993">
        <w:rPr>
          <w:rFonts w:cstheme="minorHAnsi"/>
        </w:rPr>
        <w:t xml:space="preserve">Recommendations must provide a membership </w:t>
      </w:r>
      <w:r w:rsidR="0089641A">
        <w:rPr>
          <w:rFonts w:cstheme="minorHAnsi"/>
        </w:rPr>
        <w:t>dues</w:t>
      </w:r>
      <w:r w:rsidRPr="00B54993">
        <w:rPr>
          <w:rFonts w:cstheme="minorHAnsi"/>
        </w:rPr>
        <w:t xml:space="preserve"> scale structure that meets the TCCP </w:t>
      </w:r>
      <w:r w:rsidR="00ED53C4">
        <w:rPr>
          <w:rFonts w:cstheme="minorHAnsi"/>
        </w:rPr>
        <w:t>A</w:t>
      </w:r>
      <w:r w:rsidRPr="00B54993">
        <w:rPr>
          <w:rFonts w:cstheme="minorHAnsi"/>
        </w:rPr>
        <w:t xml:space="preserve">dvisory </w:t>
      </w:r>
      <w:r w:rsidR="00ED53C4">
        <w:rPr>
          <w:rFonts w:cstheme="minorHAnsi"/>
        </w:rPr>
        <w:t>C</w:t>
      </w:r>
      <w:r w:rsidRPr="00B54993">
        <w:rPr>
          <w:rFonts w:cstheme="minorHAnsi"/>
        </w:rPr>
        <w:t>ommittee approved annual budget.</w:t>
      </w:r>
      <w:r>
        <w:rPr>
          <w:rFonts w:cstheme="minorHAnsi"/>
        </w:rPr>
        <w:t>”</w:t>
      </w:r>
    </w:p>
    <w:p w14:paraId="7848234C" w14:textId="77777777" w:rsidR="00E434DA" w:rsidRDefault="00E434DA" w:rsidP="00E434DA">
      <w:pPr>
        <w:pStyle w:val="NoSpacing"/>
        <w:rPr>
          <w:rFonts w:cstheme="minorHAnsi"/>
        </w:rPr>
      </w:pPr>
    </w:p>
    <w:p w14:paraId="027F1DD0" w14:textId="492AED61" w:rsidR="00E434DA" w:rsidRDefault="00F66230" w:rsidP="00E434DA">
      <w:pPr>
        <w:pStyle w:val="NoSpacing"/>
        <w:rPr>
          <w:rFonts w:cstheme="minorHAnsi"/>
        </w:rPr>
      </w:pPr>
      <w:r>
        <w:rPr>
          <w:rFonts w:cstheme="minorHAnsi"/>
        </w:rPr>
        <w:t>Accordingly,</w:t>
      </w:r>
      <w:r w:rsidR="00E434DA">
        <w:rPr>
          <w:rFonts w:cstheme="minorHAnsi"/>
        </w:rPr>
        <w:t xml:space="preserve"> on October 4, 2018 TCCP convened a Membership </w:t>
      </w:r>
      <w:r>
        <w:rPr>
          <w:rFonts w:cstheme="minorHAnsi"/>
        </w:rPr>
        <w:t xml:space="preserve">Dues </w:t>
      </w:r>
      <w:r w:rsidR="00E434DA">
        <w:rPr>
          <w:rFonts w:cstheme="minorHAnsi"/>
        </w:rPr>
        <w:t xml:space="preserve">Committee to determine edits to the current membership </w:t>
      </w:r>
      <w:r w:rsidR="0089641A">
        <w:rPr>
          <w:rFonts w:cstheme="minorHAnsi"/>
        </w:rPr>
        <w:t>dues</w:t>
      </w:r>
      <w:r w:rsidR="00E434DA">
        <w:rPr>
          <w:rFonts w:cstheme="minorHAnsi"/>
        </w:rPr>
        <w:t xml:space="preserve"> scale.</w:t>
      </w:r>
      <w:r w:rsidR="0089641A">
        <w:rPr>
          <w:rFonts w:cstheme="minorHAnsi"/>
        </w:rPr>
        <w:t xml:space="preserve"> </w:t>
      </w:r>
      <w:r w:rsidR="00E434DA">
        <w:rPr>
          <w:rFonts w:cstheme="minorHAnsi"/>
        </w:rPr>
        <w:t xml:space="preserve">All </w:t>
      </w:r>
      <w:r w:rsidR="00ED53C4">
        <w:rPr>
          <w:rFonts w:cstheme="minorHAnsi"/>
        </w:rPr>
        <w:t xml:space="preserve">TCCP </w:t>
      </w:r>
      <w:r w:rsidR="00E434DA">
        <w:rPr>
          <w:rFonts w:cstheme="minorHAnsi"/>
        </w:rPr>
        <w:t>members were invited and approximately 25 participated.</w:t>
      </w:r>
      <w:r w:rsidR="0089641A">
        <w:rPr>
          <w:rFonts w:cstheme="minorHAnsi"/>
        </w:rPr>
        <w:t xml:space="preserve"> At the conclusion of</w:t>
      </w:r>
      <w:r w:rsidR="00E434DA">
        <w:rPr>
          <w:rFonts w:cstheme="minorHAnsi"/>
        </w:rPr>
        <w:t xml:space="preserve"> this meeting</w:t>
      </w:r>
      <w:r w:rsidR="00ED53C4">
        <w:rPr>
          <w:rFonts w:cstheme="minorHAnsi"/>
        </w:rPr>
        <w:t>,</w:t>
      </w:r>
      <w:r w:rsidR="00E434DA">
        <w:rPr>
          <w:rFonts w:cstheme="minorHAnsi"/>
        </w:rPr>
        <w:t xml:space="preserve"> the committee proposed the following recommendations for the TCCP Advisory Committee to consider</w:t>
      </w:r>
      <w:r w:rsidR="00ED53C4">
        <w:rPr>
          <w:rFonts w:cstheme="minorHAnsi"/>
        </w:rPr>
        <w:t>:</w:t>
      </w:r>
    </w:p>
    <w:p w14:paraId="61A76A22" w14:textId="77777777" w:rsidR="00E434DA" w:rsidRDefault="00E434DA" w:rsidP="00E434DA">
      <w:pPr>
        <w:pStyle w:val="NoSpacing"/>
        <w:rPr>
          <w:rFonts w:cstheme="minorHAnsi"/>
        </w:rPr>
      </w:pPr>
    </w:p>
    <w:p w14:paraId="6E9F95AF" w14:textId="28E399A3" w:rsidR="00E434DA" w:rsidRPr="00E434DA" w:rsidRDefault="00E434DA" w:rsidP="00E434DA">
      <w:pPr>
        <w:pStyle w:val="NoSpacing"/>
        <w:rPr>
          <w:rFonts w:cstheme="minorHAnsi"/>
          <w:i/>
          <w:color w:val="002060"/>
        </w:rPr>
      </w:pPr>
      <w:r>
        <w:rPr>
          <w:rFonts w:cstheme="minorHAnsi"/>
          <w:i/>
          <w:color w:val="002060"/>
        </w:rPr>
        <w:t>O</w:t>
      </w:r>
      <w:r w:rsidR="00ED53C4">
        <w:rPr>
          <w:rFonts w:cstheme="minorHAnsi"/>
          <w:i/>
          <w:color w:val="002060"/>
        </w:rPr>
        <w:t>cto</w:t>
      </w:r>
      <w:r>
        <w:rPr>
          <w:rFonts w:cstheme="minorHAnsi"/>
          <w:i/>
          <w:color w:val="002060"/>
        </w:rPr>
        <w:t>ber 4, 2018</w:t>
      </w:r>
      <w:r w:rsidRPr="00E434DA">
        <w:rPr>
          <w:rFonts w:cstheme="minorHAnsi"/>
          <w:i/>
          <w:color w:val="002060"/>
        </w:rPr>
        <w:t xml:space="preserve"> Recommendations</w:t>
      </w:r>
    </w:p>
    <w:p w14:paraId="1FC351C6" w14:textId="1BFBE383" w:rsidR="00E434DA" w:rsidRDefault="00E434DA" w:rsidP="00E434DA">
      <w:pPr>
        <w:pStyle w:val="NoSpacing"/>
        <w:numPr>
          <w:ilvl w:val="0"/>
          <w:numId w:val="11"/>
        </w:numPr>
      </w:pPr>
      <w:r>
        <w:t xml:space="preserve">Revise the </w:t>
      </w:r>
      <w:r w:rsidR="00ED53C4">
        <w:t xml:space="preserve">Membership </w:t>
      </w:r>
      <w:r w:rsidR="0089641A">
        <w:t>D</w:t>
      </w:r>
      <w:r w:rsidR="00ED53C4">
        <w:t xml:space="preserve">ues </w:t>
      </w:r>
      <w:r w:rsidR="0089641A">
        <w:t>S</w:t>
      </w:r>
      <w:r>
        <w:t>cal</w:t>
      </w:r>
      <w:r w:rsidR="00F66230">
        <w:t>e</w:t>
      </w:r>
      <w:r>
        <w:t xml:space="preserve"> to </w:t>
      </w:r>
      <w:r w:rsidR="00F66230">
        <w:t>have the tiers jump by</w:t>
      </w:r>
      <w:r>
        <w:t xml:space="preserve"> every 50 experiences. Tier</w:t>
      </w:r>
      <w:r w:rsidR="00915EB7">
        <w:t xml:space="preserve">-based </w:t>
      </w:r>
      <w:r w:rsidR="00153B1E">
        <w:t xml:space="preserve">rates </w:t>
      </w:r>
      <w:r>
        <w:t xml:space="preserve">will start </w:t>
      </w:r>
      <w:r w:rsidR="00F66230">
        <w:t>at the same level as in the</w:t>
      </w:r>
      <w:r>
        <w:t xml:space="preserve"> previous scale</w:t>
      </w:r>
      <w:r w:rsidR="00915EB7">
        <w:t>:</w:t>
      </w:r>
      <w:r>
        <w:t xml:space="preserve"> at 20 experiences</w:t>
      </w:r>
      <w:r w:rsidR="00915EB7">
        <w:t>.</w:t>
      </w:r>
    </w:p>
    <w:p w14:paraId="5640FDC3" w14:textId="4F5BD321" w:rsidR="00E434DA" w:rsidRDefault="00E434DA" w:rsidP="00E434DA">
      <w:pPr>
        <w:pStyle w:val="NoSpacing"/>
        <w:numPr>
          <w:ilvl w:val="0"/>
          <w:numId w:val="11"/>
        </w:numPr>
      </w:pPr>
      <w:r>
        <w:t xml:space="preserve">Increase membership </w:t>
      </w:r>
      <w:r w:rsidR="00F66230">
        <w:t xml:space="preserve">dues </w:t>
      </w:r>
      <w:r>
        <w:t>amounts by 5%.</w:t>
      </w:r>
    </w:p>
    <w:p w14:paraId="306C428E" w14:textId="3AAAC0D4" w:rsidR="00E434DA" w:rsidRDefault="00E434DA" w:rsidP="00E434DA">
      <w:pPr>
        <w:pStyle w:val="NoSpacing"/>
        <w:numPr>
          <w:ilvl w:val="0"/>
          <w:numId w:val="11"/>
        </w:numPr>
      </w:pPr>
      <w:r>
        <w:t>Recommend TCCP staff look at lowe</w:t>
      </w:r>
      <w:r w:rsidR="00915EB7">
        <w:t>st</w:t>
      </w:r>
      <w:r>
        <w:t xml:space="preserve"> tier</w:t>
      </w:r>
      <w:r w:rsidR="00153B1E">
        <w:t xml:space="preserve"> (1-19 experiences)</w:t>
      </w:r>
      <w:r>
        <w:t xml:space="preserve"> and develop recommendations for membership </w:t>
      </w:r>
      <w:r w:rsidR="00F66230">
        <w:t>dues</w:t>
      </w:r>
      <w:r>
        <w:t xml:space="preserve"> for that group that correlate with the work needed by </w:t>
      </w:r>
      <w:r w:rsidR="0058046C">
        <w:t>TCCP</w:t>
      </w:r>
      <w:r>
        <w:t xml:space="preserve"> staff and Winona</w:t>
      </w:r>
      <w:r w:rsidR="0058046C">
        <w:t xml:space="preserve"> State University</w:t>
      </w:r>
      <w:r>
        <w:t xml:space="preserve">. Concluding the meeting, members were looking at scenarios in which the bottom tier would be </w:t>
      </w:r>
      <w:r w:rsidR="0058046C">
        <w:t>around $</w:t>
      </w:r>
      <w:r>
        <w:t>200</w:t>
      </w:r>
      <w:r w:rsidR="0058046C">
        <w:t>/</w:t>
      </w:r>
      <w:r>
        <w:t>experience.</w:t>
      </w:r>
    </w:p>
    <w:p w14:paraId="34CD112C" w14:textId="33B03244" w:rsidR="00E434DA" w:rsidRDefault="00E434DA" w:rsidP="00E434DA">
      <w:pPr>
        <w:pStyle w:val="NoSpacing"/>
        <w:numPr>
          <w:ilvl w:val="0"/>
          <w:numId w:val="11"/>
        </w:numPr>
      </w:pPr>
      <w:r>
        <w:t xml:space="preserve">Appeal form should have clear criteria </w:t>
      </w:r>
      <w:r w:rsidR="0058046C">
        <w:t>of</w:t>
      </w:r>
      <w:r>
        <w:t xml:space="preserve"> </w:t>
      </w:r>
      <w:r w:rsidR="00915EB7">
        <w:t xml:space="preserve">the </w:t>
      </w:r>
      <w:r>
        <w:t xml:space="preserve">grounds for an appeal. </w:t>
      </w:r>
    </w:p>
    <w:p w14:paraId="6CC690EF" w14:textId="7A7BE748" w:rsidR="00E434DA" w:rsidRDefault="00E434DA" w:rsidP="00576614">
      <w:pPr>
        <w:pStyle w:val="NoSpacing"/>
        <w:numPr>
          <w:ilvl w:val="0"/>
          <w:numId w:val="11"/>
        </w:numPr>
      </w:pPr>
      <w:r>
        <w:t>Evaluate/research observations – do further research, gather data, and consider a pricing structure for observations. Conduct research over the next year, then discuss charging for observations.</w:t>
      </w:r>
      <w:r w:rsidR="0089641A">
        <w:t xml:space="preserve"> </w:t>
      </w:r>
      <w:r>
        <w:t>The group was in favor of charging for stand-alone observations and to include the total number within a group (account for those that rotate off</w:t>
      </w:r>
      <w:r w:rsidR="00915EB7">
        <w:t xml:space="preserve"> for observations</w:t>
      </w:r>
      <w:r>
        <w:t>).</w:t>
      </w:r>
    </w:p>
    <w:p w14:paraId="18B30861" w14:textId="762737D7" w:rsidR="00E434DA" w:rsidRDefault="00E434DA" w:rsidP="00E434DA">
      <w:pPr>
        <w:pStyle w:val="NoSpacing"/>
        <w:numPr>
          <w:ilvl w:val="0"/>
          <w:numId w:val="11"/>
        </w:numPr>
      </w:pPr>
      <w:r>
        <w:t>Phase away</w:t>
      </w:r>
      <w:r w:rsidR="00915EB7">
        <w:t xml:space="preserve"> the</w:t>
      </w:r>
      <w:r>
        <w:t xml:space="preserve"> grace period of having schools/clinical sites stay at the previous</w:t>
      </w:r>
      <w:r w:rsidR="00915EB7">
        <w:t xml:space="preserve"> year’s</w:t>
      </w:r>
      <w:r>
        <w:t xml:space="preserve"> </w:t>
      </w:r>
      <w:r w:rsidR="00915EB7">
        <w:t>tier/rate</w:t>
      </w:r>
      <w:r>
        <w:t xml:space="preserve"> if the</w:t>
      </w:r>
      <w:r w:rsidR="00915EB7">
        <w:t>ir experience numbers</w:t>
      </w:r>
      <w:r>
        <w:t xml:space="preserve"> go up a </w:t>
      </w:r>
      <w:r w:rsidR="00F66230">
        <w:t>tier</w:t>
      </w:r>
      <w:r>
        <w:t xml:space="preserve">. </w:t>
      </w:r>
      <w:r w:rsidR="00915EB7">
        <w:t xml:space="preserve">(This recommendation was based on the tier jumps becoming much smaller, meaning that rises in dues would not be budget-busters.) </w:t>
      </w:r>
      <w:r>
        <w:t xml:space="preserve">Allow one more year for schools and clinical sites to adjust to the new </w:t>
      </w:r>
      <w:r w:rsidR="0089641A">
        <w:t>dues</w:t>
      </w:r>
      <w:r>
        <w:t xml:space="preserve"> scale structure.</w:t>
      </w:r>
      <w:r w:rsidR="0089641A">
        <w:t xml:space="preserve"> </w:t>
      </w:r>
      <w:r>
        <w:t>Then phase out th</w:t>
      </w:r>
      <w:r w:rsidR="00915EB7">
        <w:t>e</w:t>
      </w:r>
      <w:r>
        <w:t xml:space="preserve"> grace period </w:t>
      </w:r>
      <w:r w:rsidR="00915EB7">
        <w:t xml:space="preserve">so </w:t>
      </w:r>
      <w:r>
        <w:t xml:space="preserve">that the </w:t>
      </w:r>
      <w:r w:rsidR="00F66230">
        <w:t>tier</w:t>
      </w:r>
      <w:r>
        <w:t xml:space="preserve"> you fall into is the </w:t>
      </w:r>
      <w:r w:rsidR="00F66230">
        <w:t>rate</w:t>
      </w:r>
      <w:r>
        <w:t xml:space="preserve"> you are charged that year.</w:t>
      </w:r>
    </w:p>
    <w:p w14:paraId="338DCA26" w14:textId="323965C1" w:rsidR="00E434DA" w:rsidRDefault="00E434DA" w:rsidP="00E434DA">
      <w:pPr>
        <w:pStyle w:val="NoSpacing"/>
      </w:pPr>
    </w:p>
    <w:p w14:paraId="5F0178D3" w14:textId="29B59B73" w:rsidR="00E434DA" w:rsidRPr="002E5EB4" w:rsidRDefault="00E434DA" w:rsidP="00E434DA">
      <w:pPr>
        <w:pStyle w:val="NoSpacing"/>
        <w:rPr>
          <w:i/>
          <w:color w:val="002060"/>
        </w:rPr>
      </w:pPr>
      <w:r w:rsidRPr="002E5EB4">
        <w:rPr>
          <w:i/>
          <w:color w:val="002060"/>
        </w:rPr>
        <w:t>November 15, 2018 TCCP Advisory Committee Decisions/Recommendations</w:t>
      </w:r>
    </w:p>
    <w:p w14:paraId="30EF5C50" w14:textId="238F0177" w:rsidR="00E434DA" w:rsidRDefault="00576614" w:rsidP="00E434DA">
      <w:pPr>
        <w:pStyle w:val="NoSpacing"/>
        <w:numPr>
          <w:ilvl w:val="0"/>
          <w:numId w:val="12"/>
        </w:numPr>
      </w:pPr>
      <w:r>
        <w:t>Recommendations 1-3 of the above were unanimously approved.</w:t>
      </w:r>
    </w:p>
    <w:p w14:paraId="4038021B" w14:textId="5467C424" w:rsidR="00576614" w:rsidRDefault="00576614" w:rsidP="00E434DA">
      <w:pPr>
        <w:pStyle w:val="NoSpacing"/>
        <w:numPr>
          <w:ilvl w:val="0"/>
          <w:numId w:val="12"/>
        </w:numPr>
      </w:pPr>
      <w:r>
        <w:t>Recommendation 4 will be worked on through the TCCP Chair Committee (of the TCCP Advisory Committee) for the January 2019 notice of the TCCP membership Dues</w:t>
      </w:r>
      <w:r w:rsidR="00153B1E">
        <w:t>.</w:t>
      </w:r>
    </w:p>
    <w:p w14:paraId="15100D89" w14:textId="7326E4D7" w:rsidR="00576614" w:rsidRDefault="00576614" w:rsidP="00E434DA">
      <w:pPr>
        <w:pStyle w:val="NoSpacing"/>
        <w:numPr>
          <w:ilvl w:val="0"/>
          <w:numId w:val="12"/>
        </w:numPr>
      </w:pPr>
      <w:r>
        <w:t>Recommendation 5 will be researched by TCCP Staff over the next year.</w:t>
      </w:r>
      <w:r w:rsidR="0089641A">
        <w:t xml:space="preserve"> </w:t>
      </w:r>
      <w:r>
        <w:t xml:space="preserve">Once there is more information available concerning what the observation numbers represent, it will be brought to </w:t>
      </w:r>
      <w:r w:rsidR="00915EB7">
        <w:t xml:space="preserve">the </w:t>
      </w:r>
      <w:r>
        <w:t>TCCP Advisory Committee for discussion.</w:t>
      </w:r>
    </w:p>
    <w:p w14:paraId="7C1BB8A3" w14:textId="1AAEFC59" w:rsidR="00576614" w:rsidRDefault="00576614" w:rsidP="00E434DA">
      <w:pPr>
        <w:pStyle w:val="NoSpacing"/>
        <w:numPr>
          <w:ilvl w:val="0"/>
          <w:numId w:val="12"/>
        </w:numPr>
      </w:pPr>
      <w:r>
        <w:t>Recommendation 6</w:t>
      </w:r>
      <w:r w:rsidR="00915EB7">
        <w:t>:</w:t>
      </w:r>
      <w:r>
        <w:t xml:space="preserve"> </w:t>
      </w:r>
      <w:r w:rsidR="00915EB7">
        <w:t>A</w:t>
      </w:r>
      <w:r>
        <w:t xml:space="preserve">fter considerable discussion the TCCP </w:t>
      </w:r>
      <w:r w:rsidR="00915EB7">
        <w:t xml:space="preserve">Advisory Committee </w:t>
      </w:r>
      <w:r>
        <w:t>voted unanimously to phase away the grace period immedia</w:t>
      </w:r>
      <w:r w:rsidR="0021384B">
        <w:t>tely</w:t>
      </w:r>
      <w:r w:rsidR="00915EB7">
        <w:t>,</w:t>
      </w:r>
      <w:r w:rsidR="0021384B">
        <w:t xml:space="preserve"> </w:t>
      </w:r>
      <w:r w:rsidR="00153B1E">
        <w:t xml:space="preserve">in order </w:t>
      </w:r>
      <w:r w:rsidR="0021384B">
        <w:t>to meet budget expectations.</w:t>
      </w:r>
      <w:r w:rsidR="0089641A">
        <w:t xml:space="preserve"> </w:t>
      </w:r>
      <w:r w:rsidR="0058046C" w:rsidRPr="0058046C">
        <w:t xml:space="preserve">With </w:t>
      </w:r>
      <w:r w:rsidR="0058046C">
        <w:t>the new smaller-size tiers</w:t>
      </w:r>
      <w:r w:rsidR="0058046C" w:rsidRPr="0058046C">
        <w:t>, the likelihood of a significant membership fee increase is low.</w:t>
      </w:r>
      <w:r w:rsidR="0058046C">
        <w:t xml:space="preserve"> </w:t>
      </w:r>
      <w:r w:rsidR="0021384B">
        <w:t xml:space="preserve">If members experience undue hardship as a result of this </w:t>
      </w:r>
      <w:r w:rsidR="00915EB7">
        <w:t>decision,</w:t>
      </w:r>
      <w:r w:rsidR="0021384B">
        <w:t xml:space="preserve"> they may file an appeal (within 30 days of their membership dues notice in January).</w:t>
      </w:r>
    </w:p>
    <w:p w14:paraId="05810909" w14:textId="5AF4CB5C" w:rsidR="0021384B" w:rsidRDefault="0021384B" w:rsidP="0021384B">
      <w:pPr>
        <w:pStyle w:val="NoSpacing"/>
      </w:pPr>
    </w:p>
    <w:p w14:paraId="7C2A700B" w14:textId="3946E76B" w:rsidR="0021384B" w:rsidRDefault="0021384B" w:rsidP="0021384B">
      <w:pPr>
        <w:pStyle w:val="NoSpacing"/>
      </w:pPr>
    </w:p>
    <w:p w14:paraId="7028D37B" w14:textId="62F757FC" w:rsidR="002E5EB4" w:rsidRDefault="002E5EB4" w:rsidP="0021384B">
      <w:pPr>
        <w:pStyle w:val="NoSpacing"/>
      </w:pPr>
    </w:p>
    <w:p w14:paraId="45F74C8B" w14:textId="6AAFEE59" w:rsidR="002E5EB4" w:rsidRDefault="002E5EB4" w:rsidP="0021384B">
      <w:pPr>
        <w:pStyle w:val="NoSpacing"/>
      </w:pPr>
    </w:p>
    <w:p w14:paraId="7A57AD83" w14:textId="2D46513A" w:rsidR="002E5EB4" w:rsidRDefault="002E5EB4" w:rsidP="0021384B">
      <w:pPr>
        <w:pStyle w:val="NoSpacing"/>
      </w:pPr>
    </w:p>
    <w:p w14:paraId="7DA6F19D" w14:textId="77777777" w:rsidR="002E5EB4" w:rsidRDefault="002E5EB4" w:rsidP="0021384B">
      <w:pPr>
        <w:pStyle w:val="NoSpacing"/>
      </w:pPr>
    </w:p>
    <w:p w14:paraId="34AF057D" w14:textId="2B73AE62" w:rsidR="0021384B" w:rsidRDefault="0021384B" w:rsidP="0021384B">
      <w:pPr>
        <w:pStyle w:val="NoSpacing"/>
      </w:pPr>
    </w:p>
    <w:p w14:paraId="0FF59DCD" w14:textId="16F52D64" w:rsidR="0021384B" w:rsidRDefault="0021384B" w:rsidP="0021384B">
      <w:pPr>
        <w:pStyle w:val="NoSpacing"/>
      </w:pPr>
    </w:p>
    <w:p w14:paraId="2728F521" w14:textId="77777777" w:rsidR="0021384B" w:rsidRPr="00F12BED" w:rsidRDefault="0021384B" w:rsidP="0021384B">
      <w:pPr>
        <w:pStyle w:val="NoSpacing"/>
        <w:shd w:val="clear" w:color="auto" w:fill="002060"/>
        <w:jc w:val="center"/>
        <w:rPr>
          <w:rFonts w:ascii="Arial" w:hAnsi="Arial" w:cs="Arial"/>
          <w:b/>
          <w:color w:val="FFC000"/>
          <w:sz w:val="28"/>
          <w:szCs w:val="28"/>
        </w:rPr>
      </w:pPr>
      <w:r w:rsidRPr="00F12BED">
        <w:rPr>
          <w:rFonts w:ascii="Arial" w:hAnsi="Arial" w:cs="Arial"/>
          <w:b/>
          <w:color w:val="FFC000"/>
          <w:sz w:val="28"/>
          <w:szCs w:val="28"/>
        </w:rPr>
        <w:t>TCCP Budget</w:t>
      </w:r>
    </w:p>
    <w:p w14:paraId="6950ABB5" w14:textId="77777777" w:rsidR="0021384B" w:rsidRPr="00F12BED" w:rsidRDefault="0021384B" w:rsidP="0021384B">
      <w:pPr>
        <w:pStyle w:val="NoSpacing"/>
        <w:shd w:val="clear" w:color="auto" w:fill="002060"/>
        <w:jc w:val="center"/>
        <w:rPr>
          <w:rFonts w:ascii="Arial" w:hAnsi="Arial" w:cs="Arial"/>
          <w:b/>
          <w:color w:val="FFC000"/>
          <w:sz w:val="28"/>
          <w:szCs w:val="28"/>
        </w:rPr>
      </w:pPr>
      <w:r w:rsidRPr="00F12BED">
        <w:rPr>
          <w:rFonts w:ascii="Arial" w:hAnsi="Arial" w:cs="Arial"/>
          <w:b/>
          <w:color w:val="FFC000"/>
          <w:sz w:val="28"/>
          <w:szCs w:val="28"/>
        </w:rPr>
        <w:t xml:space="preserve">Approved by the TCCP Advisory Committee </w:t>
      </w:r>
      <w:proofErr w:type="gramStart"/>
      <w:r w:rsidRPr="00F12BED">
        <w:rPr>
          <w:rFonts w:ascii="Arial" w:hAnsi="Arial" w:cs="Arial"/>
          <w:b/>
          <w:color w:val="FFC000"/>
          <w:sz w:val="28"/>
          <w:szCs w:val="28"/>
        </w:rPr>
        <w:t>July,</w:t>
      </w:r>
      <w:proofErr w:type="gramEnd"/>
      <w:r w:rsidRPr="00F12BED">
        <w:rPr>
          <w:rFonts w:ascii="Arial" w:hAnsi="Arial" w:cs="Arial"/>
          <w:b/>
          <w:color w:val="FFC000"/>
          <w:sz w:val="28"/>
          <w:szCs w:val="28"/>
        </w:rPr>
        <w:t xml:space="preserve"> 2018.</w:t>
      </w:r>
    </w:p>
    <w:p w14:paraId="56D82BD9" w14:textId="77777777" w:rsidR="0021384B" w:rsidRDefault="0021384B" w:rsidP="0021384B">
      <w:pPr>
        <w:pStyle w:val="NoSpacing"/>
      </w:pPr>
    </w:p>
    <w:tbl>
      <w:tblPr>
        <w:tblStyle w:val="TableGrid"/>
        <w:tblW w:w="10345" w:type="dxa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21384B" w14:paraId="15C0621F" w14:textId="77777777" w:rsidTr="00CB100D">
        <w:tc>
          <w:tcPr>
            <w:tcW w:w="10345" w:type="dxa"/>
          </w:tcPr>
          <w:p w14:paraId="3E170FA7" w14:textId="77777777" w:rsidR="0021384B" w:rsidRDefault="0021384B" w:rsidP="00CB100D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B422C57" wp14:editId="14ABDBB3">
                  <wp:extent cx="5486400" cy="3200400"/>
                  <wp:effectExtent l="0" t="0" r="0" b="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1080FAAF" w14:textId="77777777" w:rsidR="0021384B" w:rsidRDefault="0021384B" w:rsidP="0021384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1705"/>
      </w:tblGrid>
      <w:tr w:rsidR="0021384B" w14:paraId="75410AA4" w14:textId="77777777" w:rsidTr="00CB100D">
        <w:tc>
          <w:tcPr>
            <w:tcW w:w="9085" w:type="dxa"/>
          </w:tcPr>
          <w:p w14:paraId="3F1DC0A0" w14:textId="77777777" w:rsidR="0021384B" w:rsidRDefault="0021384B" w:rsidP="00CB100D">
            <w:pPr>
              <w:pStyle w:val="NoSpacing"/>
            </w:pPr>
            <w:r>
              <w:t>Budget Items Explained</w:t>
            </w:r>
          </w:p>
          <w:p w14:paraId="31B5D6C9" w14:textId="77777777" w:rsidR="0021384B" w:rsidRDefault="0021384B" w:rsidP="00CB100D">
            <w:pPr>
              <w:pStyle w:val="NoSpacing"/>
            </w:pPr>
            <w:r>
              <w:t>Staff &amp; Benefits</w:t>
            </w:r>
          </w:p>
          <w:p w14:paraId="27FDB344" w14:textId="77777777" w:rsidR="0021384B" w:rsidRDefault="0021384B" w:rsidP="0021384B">
            <w:pPr>
              <w:pStyle w:val="NoSpacing"/>
              <w:numPr>
                <w:ilvl w:val="0"/>
                <w:numId w:val="13"/>
              </w:numPr>
            </w:pPr>
            <w:r>
              <w:t>3 Salary FTEs at Winona State University</w:t>
            </w:r>
          </w:p>
          <w:p w14:paraId="4AD2EDCD" w14:textId="77777777" w:rsidR="0021384B" w:rsidRDefault="0021384B" w:rsidP="0021384B">
            <w:pPr>
              <w:pStyle w:val="NoSpacing"/>
              <w:numPr>
                <w:ilvl w:val="0"/>
                <w:numId w:val="13"/>
              </w:numPr>
            </w:pPr>
            <w:r>
              <w:t>35% Benefits</w:t>
            </w:r>
          </w:p>
          <w:p w14:paraId="3E02A42A" w14:textId="77777777" w:rsidR="0021384B" w:rsidRDefault="0021384B" w:rsidP="00CB100D">
            <w:pPr>
              <w:pStyle w:val="NoSpacing"/>
            </w:pPr>
            <w:r>
              <w:t>Administrative</w:t>
            </w:r>
          </w:p>
          <w:p w14:paraId="0660BA99" w14:textId="77777777" w:rsidR="0021384B" w:rsidRDefault="0021384B" w:rsidP="0021384B">
            <w:pPr>
              <w:pStyle w:val="NoSpacing"/>
              <w:numPr>
                <w:ilvl w:val="0"/>
                <w:numId w:val="14"/>
              </w:numPr>
            </w:pPr>
            <w:r>
              <w:t>Phones</w:t>
            </w:r>
          </w:p>
          <w:p w14:paraId="47E3432B" w14:textId="77777777" w:rsidR="0021384B" w:rsidRDefault="0021384B" w:rsidP="0021384B">
            <w:pPr>
              <w:pStyle w:val="NoSpacing"/>
              <w:numPr>
                <w:ilvl w:val="0"/>
                <w:numId w:val="14"/>
              </w:numPr>
            </w:pPr>
            <w:r>
              <w:t>Computers</w:t>
            </w:r>
          </w:p>
          <w:p w14:paraId="74949C50" w14:textId="77777777" w:rsidR="0021384B" w:rsidRDefault="0021384B" w:rsidP="0021384B">
            <w:pPr>
              <w:pStyle w:val="NoSpacing"/>
              <w:numPr>
                <w:ilvl w:val="0"/>
                <w:numId w:val="14"/>
              </w:numPr>
            </w:pPr>
            <w:r>
              <w:t>Travel</w:t>
            </w:r>
          </w:p>
          <w:p w14:paraId="043DA526" w14:textId="77777777" w:rsidR="0021384B" w:rsidRDefault="0021384B" w:rsidP="0021384B">
            <w:pPr>
              <w:pStyle w:val="NoSpacing"/>
              <w:numPr>
                <w:ilvl w:val="0"/>
                <w:numId w:val="14"/>
              </w:numPr>
            </w:pPr>
            <w:r>
              <w:t>Copies</w:t>
            </w:r>
          </w:p>
          <w:p w14:paraId="1CD0E748" w14:textId="1E845C8B" w:rsidR="0021384B" w:rsidRDefault="0021384B" w:rsidP="00CB100D">
            <w:pPr>
              <w:pStyle w:val="NoSpacing"/>
            </w:pPr>
            <w:r>
              <w:t xml:space="preserve">Technology (3 Software Packages – </w:t>
            </w:r>
            <w:proofErr w:type="spellStart"/>
            <w:r>
              <w:t>StudentLink</w:t>
            </w:r>
            <w:proofErr w:type="spellEnd"/>
            <w:r>
              <w:t xml:space="preserve"> Pre &amp; APP (2) and Student Passport Syst</w:t>
            </w:r>
            <w:r w:rsidR="00915EB7">
              <w:t>em</w:t>
            </w:r>
          </w:p>
          <w:p w14:paraId="15456EC7" w14:textId="3FCAEA4C" w:rsidR="0021384B" w:rsidRDefault="0021384B" w:rsidP="0021384B">
            <w:pPr>
              <w:pStyle w:val="NoSpacing"/>
              <w:numPr>
                <w:ilvl w:val="0"/>
                <w:numId w:val="15"/>
              </w:numPr>
            </w:pPr>
            <w:r>
              <w:t>Encryption &amp; Hacker</w:t>
            </w:r>
            <w:r w:rsidR="00915EB7">
              <w:t>-testing</w:t>
            </w:r>
            <w:r>
              <w:t xml:space="preserve"> Subscriptions</w:t>
            </w:r>
          </w:p>
          <w:p w14:paraId="23B795EC" w14:textId="77777777" w:rsidR="0021384B" w:rsidRDefault="0021384B" w:rsidP="0021384B">
            <w:pPr>
              <w:pStyle w:val="NoSpacing"/>
              <w:numPr>
                <w:ilvl w:val="0"/>
                <w:numId w:val="15"/>
              </w:numPr>
            </w:pPr>
            <w:r>
              <w:t>Domain costs</w:t>
            </w:r>
          </w:p>
          <w:p w14:paraId="54FF391A" w14:textId="77777777" w:rsidR="0021384B" w:rsidRDefault="0021384B" w:rsidP="0021384B">
            <w:pPr>
              <w:pStyle w:val="NoSpacing"/>
              <w:numPr>
                <w:ilvl w:val="0"/>
                <w:numId w:val="15"/>
              </w:numPr>
            </w:pPr>
            <w:r>
              <w:t>Informational Website</w:t>
            </w:r>
          </w:p>
          <w:p w14:paraId="5E3E8764" w14:textId="0FC9ED9D" w:rsidR="0021384B" w:rsidRDefault="0021384B" w:rsidP="0021384B">
            <w:pPr>
              <w:pStyle w:val="NoSpacing"/>
              <w:numPr>
                <w:ilvl w:val="0"/>
                <w:numId w:val="15"/>
              </w:numPr>
            </w:pPr>
            <w:r>
              <w:t>Web dev</w:t>
            </w:r>
            <w:r w:rsidR="00915EB7">
              <w:t>eloper</w:t>
            </w:r>
            <w:r>
              <w:t xml:space="preserve"> time for maintenance</w:t>
            </w:r>
            <w:r w:rsidR="00915EB7">
              <w:t>;</w:t>
            </w:r>
            <w:r>
              <w:t xml:space="preserve"> ensure operational 24/7</w:t>
            </w:r>
          </w:p>
          <w:p w14:paraId="7852394E" w14:textId="77777777" w:rsidR="0021384B" w:rsidRDefault="0021384B" w:rsidP="00CB100D">
            <w:pPr>
              <w:pStyle w:val="NoSpacing"/>
            </w:pPr>
            <w:r>
              <w:t xml:space="preserve">New Initiatives </w:t>
            </w:r>
          </w:p>
          <w:p w14:paraId="056D6CBC" w14:textId="77777777" w:rsidR="0021384B" w:rsidRDefault="0021384B" w:rsidP="0021384B">
            <w:pPr>
              <w:pStyle w:val="NoSpacing"/>
              <w:numPr>
                <w:ilvl w:val="0"/>
                <w:numId w:val="16"/>
              </w:numPr>
            </w:pPr>
            <w:r>
              <w:t>Aimed to move forward new initiatives identified by the TCCP membership that would be useful/valuable to their work</w:t>
            </w:r>
          </w:p>
          <w:p w14:paraId="51F12477" w14:textId="71D17EB9" w:rsidR="0021384B" w:rsidRDefault="0021384B" w:rsidP="0021384B">
            <w:pPr>
              <w:pStyle w:val="NoSpacing"/>
              <w:numPr>
                <w:ilvl w:val="0"/>
                <w:numId w:val="16"/>
              </w:numPr>
            </w:pPr>
            <w:r>
              <w:t xml:space="preserve">So </w:t>
            </w:r>
            <w:r w:rsidR="00915EB7">
              <w:t>far,</w:t>
            </w:r>
            <w:r>
              <w:t xml:space="preserve"> this fund has been used to fund web developer coding for new TCCP software and features (370 hours of web development work</w:t>
            </w:r>
            <w:r w:rsidR="00F15246">
              <w:t xml:space="preserve"> at $135/</w:t>
            </w:r>
            <w:proofErr w:type="spellStart"/>
            <w:r w:rsidR="00F15246">
              <w:t>hr</w:t>
            </w:r>
            <w:proofErr w:type="spellEnd"/>
            <w:r>
              <w:t>)</w:t>
            </w:r>
          </w:p>
          <w:p w14:paraId="3C4684A7" w14:textId="77777777" w:rsidR="0021384B" w:rsidRDefault="0021384B" w:rsidP="00CB100D">
            <w:pPr>
              <w:pStyle w:val="NoSpacing"/>
            </w:pPr>
            <w:r>
              <w:t>Savings</w:t>
            </w:r>
          </w:p>
          <w:p w14:paraId="785BCDFC" w14:textId="12D32367" w:rsidR="0021384B" w:rsidRDefault="0021384B" w:rsidP="0021384B">
            <w:pPr>
              <w:pStyle w:val="NoSpacing"/>
              <w:numPr>
                <w:ilvl w:val="0"/>
                <w:numId w:val="17"/>
              </w:numPr>
            </w:pPr>
            <w:r>
              <w:t>Primary goal</w:t>
            </w:r>
            <w:r w:rsidR="00F15246">
              <w:t xml:space="preserve"> is</w:t>
            </w:r>
            <w:r>
              <w:t xml:space="preserve"> to safeguard TCCP technology for TCCP members in a crisis event</w:t>
            </w:r>
            <w:r w:rsidR="00F15246">
              <w:t>;</w:t>
            </w:r>
            <w:r>
              <w:t xml:space="preserve"> ensure TCCP software is maintained and operational (</w:t>
            </w:r>
            <w:r w:rsidR="00F15246">
              <w:t>funded over 3 years’ time</w:t>
            </w:r>
            <w:r>
              <w:t>)</w:t>
            </w:r>
          </w:p>
          <w:p w14:paraId="74FA3C26" w14:textId="77777777" w:rsidR="0021384B" w:rsidRDefault="0021384B" w:rsidP="00CB100D">
            <w:pPr>
              <w:pStyle w:val="NoSpacing"/>
              <w:ind w:left="720"/>
              <w:jc w:val="right"/>
              <w:rPr>
                <w:sz w:val="4"/>
                <w:szCs w:val="4"/>
              </w:rPr>
            </w:pPr>
          </w:p>
          <w:p w14:paraId="3EE26488" w14:textId="77777777" w:rsidR="0021384B" w:rsidRPr="001107E9" w:rsidRDefault="0021384B" w:rsidP="00CB100D">
            <w:pPr>
              <w:pStyle w:val="NoSpacing"/>
              <w:ind w:left="720"/>
              <w:jc w:val="right"/>
              <w:rPr>
                <w:sz w:val="4"/>
                <w:szCs w:val="4"/>
              </w:rPr>
            </w:pPr>
          </w:p>
          <w:p w14:paraId="0E379073" w14:textId="77777777" w:rsidR="0021384B" w:rsidRPr="001107E9" w:rsidRDefault="0021384B" w:rsidP="00CB100D">
            <w:pPr>
              <w:pStyle w:val="NoSpacing"/>
              <w:ind w:left="720"/>
              <w:jc w:val="right"/>
              <w:rPr>
                <w:b/>
              </w:rPr>
            </w:pPr>
            <w:r w:rsidRPr="001107E9">
              <w:rPr>
                <w:b/>
              </w:rPr>
              <w:t>Total</w:t>
            </w:r>
          </w:p>
          <w:p w14:paraId="04AD337E" w14:textId="77777777" w:rsidR="0021384B" w:rsidRDefault="0021384B" w:rsidP="00CB100D">
            <w:pPr>
              <w:pStyle w:val="NoSpacing"/>
            </w:pPr>
          </w:p>
        </w:tc>
        <w:tc>
          <w:tcPr>
            <w:tcW w:w="1705" w:type="dxa"/>
          </w:tcPr>
          <w:p w14:paraId="039D2698" w14:textId="77777777" w:rsidR="0021384B" w:rsidRDefault="0021384B" w:rsidP="00CB100D">
            <w:pPr>
              <w:pStyle w:val="NoSpacing"/>
              <w:jc w:val="center"/>
            </w:pPr>
            <w:r>
              <w:t>Totals</w:t>
            </w:r>
          </w:p>
          <w:p w14:paraId="3EDE4313" w14:textId="77777777" w:rsidR="0021384B" w:rsidRDefault="0021384B" w:rsidP="00CB100D">
            <w:pPr>
              <w:pStyle w:val="NoSpacing"/>
              <w:jc w:val="center"/>
            </w:pPr>
          </w:p>
          <w:p w14:paraId="6FC01008" w14:textId="77777777" w:rsidR="0021384B" w:rsidRDefault="0021384B" w:rsidP="00CB100D">
            <w:pPr>
              <w:pStyle w:val="NoSpacing"/>
              <w:jc w:val="center"/>
            </w:pPr>
            <w:r>
              <w:t>$234,000</w:t>
            </w:r>
          </w:p>
          <w:p w14:paraId="363404D5" w14:textId="77777777" w:rsidR="0021384B" w:rsidRDefault="0021384B" w:rsidP="00CB100D">
            <w:pPr>
              <w:pStyle w:val="NoSpacing"/>
              <w:jc w:val="center"/>
            </w:pPr>
          </w:p>
          <w:p w14:paraId="1133ED17" w14:textId="77777777" w:rsidR="0021384B" w:rsidRDefault="0021384B" w:rsidP="00CB100D">
            <w:pPr>
              <w:pStyle w:val="NoSpacing"/>
              <w:jc w:val="center"/>
            </w:pPr>
          </w:p>
          <w:p w14:paraId="101B3398" w14:textId="77777777" w:rsidR="0021384B" w:rsidRDefault="0021384B" w:rsidP="00CB100D">
            <w:pPr>
              <w:pStyle w:val="NoSpacing"/>
              <w:jc w:val="center"/>
            </w:pPr>
            <w:r>
              <w:t>12,000</w:t>
            </w:r>
          </w:p>
          <w:p w14:paraId="7E971672" w14:textId="77777777" w:rsidR="0021384B" w:rsidRDefault="0021384B" w:rsidP="00CB100D">
            <w:pPr>
              <w:pStyle w:val="NoSpacing"/>
              <w:jc w:val="center"/>
            </w:pPr>
          </w:p>
          <w:p w14:paraId="17BEFC1E" w14:textId="77777777" w:rsidR="0021384B" w:rsidRDefault="0021384B" w:rsidP="00CB100D">
            <w:pPr>
              <w:pStyle w:val="NoSpacing"/>
              <w:jc w:val="center"/>
            </w:pPr>
          </w:p>
          <w:p w14:paraId="14DAC220" w14:textId="77777777" w:rsidR="0021384B" w:rsidRDefault="0021384B" w:rsidP="00CB100D">
            <w:pPr>
              <w:pStyle w:val="NoSpacing"/>
              <w:jc w:val="center"/>
            </w:pPr>
          </w:p>
          <w:p w14:paraId="2755F415" w14:textId="77777777" w:rsidR="0021384B" w:rsidRDefault="0021384B" w:rsidP="00CB100D">
            <w:pPr>
              <w:pStyle w:val="NoSpacing"/>
              <w:jc w:val="center"/>
            </w:pPr>
            <w:r>
              <w:t>45,000</w:t>
            </w:r>
          </w:p>
          <w:p w14:paraId="278194C9" w14:textId="77777777" w:rsidR="0021384B" w:rsidRDefault="0021384B" w:rsidP="00CB100D">
            <w:pPr>
              <w:pStyle w:val="NoSpacing"/>
              <w:jc w:val="center"/>
            </w:pPr>
          </w:p>
          <w:p w14:paraId="31359D9D" w14:textId="77777777" w:rsidR="0021384B" w:rsidRDefault="0021384B" w:rsidP="00CB100D">
            <w:pPr>
              <w:pStyle w:val="NoSpacing"/>
              <w:jc w:val="center"/>
            </w:pPr>
          </w:p>
          <w:p w14:paraId="70EC6B85" w14:textId="77777777" w:rsidR="0021384B" w:rsidRDefault="0021384B" w:rsidP="00CB100D">
            <w:pPr>
              <w:pStyle w:val="NoSpacing"/>
              <w:jc w:val="center"/>
            </w:pPr>
          </w:p>
          <w:p w14:paraId="38E5C534" w14:textId="77777777" w:rsidR="0021384B" w:rsidRDefault="0021384B" w:rsidP="00CB100D">
            <w:pPr>
              <w:pStyle w:val="NoSpacing"/>
              <w:jc w:val="center"/>
            </w:pPr>
          </w:p>
          <w:p w14:paraId="49B13170" w14:textId="77777777" w:rsidR="0021384B" w:rsidRDefault="0021384B" w:rsidP="00CB100D">
            <w:pPr>
              <w:pStyle w:val="NoSpacing"/>
              <w:jc w:val="center"/>
            </w:pPr>
          </w:p>
          <w:p w14:paraId="2DC260B1" w14:textId="77777777" w:rsidR="0021384B" w:rsidRDefault="0021384B" w:rsidP="00CB100D">
            <w:pPr>
              <w:pStyle w:val="NoSpacing"/>
              <w:jc w:val="center"/>
            </w:pPr>
            <w:r>
              <w:t>50,000</w:t>
            </w:r>
          </w:p>
          <w:p w14:paraId="15043953" w14:textId="77777777" w:rsidR="0021384B" w:rsidRDefault="0021384B" w:rsidP="00CB100D">
            <w:pPr>
              <w:pStyle w:val="NoSpacing"/>
              <w:jc w:val="center"/>
            </w:pPr>
          </w:p>
          <w:p w14:paraId="5E17E284" w14:textId="77777777" w:rsidR="0021384B" w:rsidRDefault="0021384B" w:rsidP="00CB100D">
            <w:pPr>
              <w:pStyle w:val="NoSpacing"/>
              <w:jc w:val="center"/>
            </w:pPr>
          </w:p>
          <w:p w14:paraId="5559D917" w14:textId="77777777" w:rsidR="0021384B" w:rsidRDefault="0021384B" w:rsidP="00CB100D">
            <w:pPr>
              <w:pStyle w:val="NoSpacing"/>
              <w:jc w:val="center"/>
            </w:pPr>
          </w:p>
          <w:p w14:paraId="19EE9983" w14:textId="77777777" w:rsidR="0021384B" w:rsidRDefault="0021384B" w:rsidP="00CB100D">
            <w:pPr>
              <w:pStyle w:val="NoSpacing"/>
              <w:jc w:val="center"/>
            </w:pPr>
          </w:p>
          <w:p w14:paraId="7183FDD8" w14:textId="77777777" w:rsidR="0021384B" w:rsidRDefault="0021384B" w:rsidP="00CB100D">
            <w:pPr>
              <w:pStyle w:val="NoSpacing"/>
              <w:jc w:val="center"/>
            </w:pPr>
            <w:r>
              <w:t>34,000</w:t>
            </w:r>
          </w:p>
          <w:p w14:paraId="6FAE3DB4" w14:textId="77777777" w:rsidR="0021384B" w:rsidRDefault="0021384B" w:rsidP="00CB100D">
            <w:pPr>
              <w:pStyle w:val="NoSpacing"/>
            </w:pPr>
          </w:p>
          <w:p w14:paraId="0A821483" w14:textId="77777777" w:rsidR="0021384B" w:rsidRDefault="0021384B" w:rsidP="00CB100D">
            <w:pPr>
              <w:pStyle w:val="NoSpacing"/>
            </w:pPr>
          </w:p>
          <w:p w14:paraId="3B598B48" w14:textId="77777777" w:rsidR="0021384B" w:rsidRPr="001107E9" w:rsidRDefault="0021384B" w:rsidP="00CB100D">
            <w:pPr>
              <w:pStyle w:val="NoSpacing"/>
              <w:jc w:val="center"/>
              <w:rPr>
                <w:b/>
                <w:u w:val="single"/>
              </w:rPr>
            </w:pPr>
            <w:r w:rsidRPr="001107E9">
              <w:rPr>
                <w:b/>
                <w:u w:val="single"/>
              </w:rPr>
              <w:t>$375,000</w:t>
            </w:r>
          </w:p>
        </w:tc>
      </w:tr>
    </w:tbl>
    <w:p w14:paraId="56DB1E9B" w14:textId="77777777" w:rsidR="0021384B" w:rsidRPr="00E434DA" w:rsidRDefault="0021384B" w:rsidP="0021384B">
      <w:pPr>
        <w:pStyle w:val="NoSpacing"/>
      </w:pPr>
    </w:p>
    <w:p w14:paraId="72557ECB" w14:textId="77777777" w:rsidR="00F15246" w:rsidRPr="00A632E2" w:rsidRDefault="00F15246" w:rsidP="00F15246">
      <w:pPr>
        <w:pStyle w:val="Header"/>
        <w:shd w:val="clear" w:color="auto" w:fill="2F5496" w:themeFill="accent1" w:themeFillShade="BF"/>
        <w:jc w:val="center"/>
        <w:rPr>
          <w:b/>
          <w:color w:val="FFFFFF" w:themeColor="background1"/>
          <w:sz w:val="28"/>
          <w:szCs w:val="28"/>
        </w:rPr>
      </w:pPr>
      <w:r w:rsidRPr="00A632E2">
        <w:rPr>
          <w:b/>
          <w:color w:val="FFFFFF" w:themeColor="background1"/>
          <w:sz w:val="28"/>
          <w:szCs w:val="28"/>
        </w:rPr>
        <w:t>The Clinical Coordination Partnership (TCCP)</w:t>
      </w:r>
    </w:p>
    <w:p w14:paraId="54EE1600" w14:textId="48946ECE" w:rsidR="00F15246" w:rsidRPr="00A632E2" w:rsidRDefault="00F15246" w:rsidP="00F15246">
      <w:pPr>
        <w:pStyle w:val="Header"/>
        <w:shd w:val="clear" w:color="auto" w:fill="2F5496" w:themeFill="accent1" w:themeFillShade="BF"/>
        <w:jc w:val="center"/>
        <w:rPr>
          <w:b/>
          <w:color w:val="FFFFFF" w:themeColor="background1"/>
          <w:sz w:val="28"/>
          <w:szCs w:val="28"/>
        </w:rPr>
      </w:pPr>
      <w:r w:rsidRPr="00A632E2">
        <w:rPr>
          <w:b/>
          <w:color w:val="FFFFFF" w:themeColor="background1"/>
          <w:sz w:val="28"/>
          <w:szCs w:val="28"/>
        </w:rPr>
        <w:t>Membership</w:t>
      </w:r>
      <w:r w:rsidR="0089641A">
        <w:rPr>
          <w:b/>
          <w:color w:val="FFFFFF" w:themeColor="background1"/>
          <w:sz w:val="28"/>
          <w:szCs w:val="28"/>
        </w:rPr>
        <w:t xml:space="preserve"> Dues</w:t>
      </w:r>
      <w:r w:rsidRPr="00A632E2">
        <w:rPr>
          <w:b/>
          <w:color w:val="FFFFFF" w:themeColor="background1"/>
          <w:sz w:val="28"/>
          <w:szCs w:val="28"/>
        </w:rPr>
        <w:t xml:space="preserve"> Scale Outline</w:t>
      </w:r>
    </w:p>
    <w:p w14:paraId="40F0514A" w14:textId="6EED066A" w:rsidR="00F15246" w:rsidRDefault="00F15246" w:rsidP="00F15246">
      <w:pPr>
        <w:jc w:val="center"/>
        <w:rPr>
          <w:i/>
        </w:rPr>
      </w:pPr>
      <w:r>
        <w:rPr>
          <w:i/>
        </w:rPr>
        <w:br/>
        <w:t xml:space="preserve">The following membership </w:t>
      </w:r>
      <w:r w:rsidR="0089641A">
        <w:rPr>
          <w:i/>
        </w:rPr>
        <w:t xml:space="preserve">dues </w:t>
      </w:r>
      <w:r>
        <w:rPr>
          <w:i/>
        </w:rPr>
        <w:t>scale scenarios were approved by the TCCP Advisory Committee on 12/1/15.</w:t>
      </w:r>
    </w:p>
    <w:p w14:paraId="5E6B660A" w14:textId="5801DA45" w:rsidR="00F15246" w:rsidRDefault="00F15246" w:rsidP="00F15246">
      <w:pPr>
        <w:rPr>
          <w:b/>
        </w:rPr>
      </w:pPr>
      <w:r>
        <w:rPr>
          <w:b/>
        </w:rPr>
        <w:t xml:space="preserve">Membership </w:t>
      </w:r>
      <w:r w:rsidR="0089641A">
        <w:rPr>
          <w:b/>
        </w:rPr>
        <w:t xml:space="preserve">Dues </w:t>
      </w:r>
      <w:r>
        <w:rPr>
          <w:b/>
        </w:rPr>
        <w:t>Scale</w:t>
      </w:r>
    </w:p>
    <w:p w14:paraId="59366586" w14:textId="02A8CE15" w:rsidR="00F15246" w:rsidRPr="00A632E2" w:rsidRDefault="00F15246" w:rsidP="00F1524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629B4" wp14:editId="16DA8B9D">
                <wp:simplePos x="0" y="0"/>
                <wp:positionH relativeFrom="column">
                  <wp:posOffset>3253740</wp:posOffset>
                </wp:positionH>
                <wp:positionV relativeFrom="paragraph">
                  <wp:posOffset>1033145</wp:posOffset>
                </wp:positionV>
                <wp:extent cx="3101340" cy="1653540"/>
                <wp:effectExtent l="0" t="0" r="381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CE5DE" w14:textId="3C3EDE99" w:rsidR="0041479D" w:rsidRDefault="0041479D" w:rsidP="00F1524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Member due scales and annual rates are held for a 3-year period; at that time the TCCP Membership will re-evaluate (last 11/5/15).</w:t>
                            </w:r>
                          </w:p>
                          <w:p w14:paraId="474B62D2" w14:textId="77777777" w:rsidR="0041479D" w:rsidRDefault="0041479D" w:rsidP="00F1524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Systems are </w:t>
                            </w:r>
                            <w:proofErr w:type="gramStart"/>
                            <w:r>
                              <w:t>consolidated together</w:t>
                            </w:r>
                            <w:proofErr w:type="gramEnd"/>
                            <w:r>
                              <w:t xml:space="preserve"> when determining scale levels.</w:t>
                            </w:r>
                          </w:p>
                          <w:p w14:paraId="321ADECB" w14:textId="77777777" w:rsidR="0041479D" w:rsidRDefault="0041479D" w:rsidP="00F1524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Membership dues are invoiced for July 1st</w:t>
                            </w:r>
                          </w:p>
                          <w:p w14:paraId="4BE1D6AE" w14:textId="77777777" w:rsidR="0041479D" w:rsidRDefault="0041479D" w:rsidP="00F1524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Notice of membership dues are distributed in January, 5 months prior to the due date.</w:t>
                            </w:r>
                          </w:p>
                          <w:p w14:paraId="31F5AF3F" w14:textId="77777777" w:rsidR="0041479D" w:rsidRDefault="0041479D" w:rsidP="00F15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29B4" id="Text Box 4" o:spid="_x0000_s1028" type="#_x0000_t202" style="position:absolute;margin-left:256.2pt;margin-top:81.35pt;width:244.2pt;height:130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" fillcolor="white [3201]" stroked="f" strokeweight=".5pt">
                <v:textbox>
                  <w:txbxContent>
                    <w:p w14:paraId="7C3CE5DE" w14:textId="3C3EDE99" w:rsidR="0041479D" w:rsidRDefault="0041479D" w:rsidP="00F15246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Member due scales and annual rates are held for a 3-year period; at that time the TCCP Membership will re-evaluate (last 11/5/15).</w:t>
                      </w:r>
                    </w:p>
                    <w:p w14:paraId="474B62D2" w14:textId="77777777" w:rsidR="0041479D" w:rsidRDefault="0041479D" w:rsidP="00F15246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Systems are </w:t>
                      </w:r>
                      <w:proofErr w:type="gramStart"/>
                      <w:r>
                        <w:t>consolidated together</w:t>
                      </w:r>
                      <w:proofErr w:type="gramEnd"/>
                      <w:r>
                        <w:t xml:space="preserve"> when determining scale levels.</w:t>
                      </w:r>
                    </w:p>
                    <w:p w14:paraId="321ADECB" w14:textId="77777777" w:rsidR="0041479D" w:rsidRDefault="0041479D" w:rsidP="00F15246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Membership dues are invoiced for July 1st</w:t>
                      </w:r>
                    </w:p>
                    <w:p w14:paraId="4BE1D6AE" w14:textId="77777777" w:rsidR="0041479D" w:rsidRDefault="0041479D" w:rsidP="00F15246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Notice of membership dues are distributed in January, 5 months prior to the due date.</w:t>
                      </w:r>
                    </w:p>
                    <w:p w14:paraId="31F5AF3F" w14:textId="77777777" w:rsidR="0041479D" w:rsidRDefault="0041479D" w:rsidP="00F15246"/>
                  </w:txbxContent>
                </v:textbox>
              </v:shape>
            </w:pict>
          </mc:Fallback>
        </mc:AlternateContent>
      </w:r>
      <w:r>
        <w:t>The table below outlines the TCCP Membership</w:t>
      </w:r>
      <w:r w:rsidR="0089641A">
        <w:t xml:space="preserve"> Dues</w:t>
      </w:r>
      <w:r>
        <w:t xml:space="preserve"> Scale </w:t>
      </w:r>
      <w:r w:rsidR="0041479D">
        <w:t>regarding</w:t>
      </w:r>
      <w:r>
        <w:t xml:space="preserve"> experience range</w:t>
      </w:r>
      <w:r w:rsidR="00153B1E">
        <w:t>s and the related dues</w:t>
      </w:r>
      <w:r>
        <w:t>.</w:t>
      </w:r>
      <w:r w:rsidR="0089641A">
        <w:t xml:space="preserve"> </w:t>
      </w:r>
      <w:r>
        <w:t xml:space="preserve">Activity levels are calculated by the total number of </w:t>
      </w:r>
      <w:r w:rsidR="00153B1E">
        <w:t>active/</w:t>
      </w:r>
      <w:r>
        <w:t>approved group, preceptor</w:t>
      </w:r>
      <w:r w:rsidR="00153B1E">
        <w:t xml:space="preserve">, </w:t>
      </w:r>
      <w:r>
        <w:t xml:space="preserve">leadership </w:t>
      </w:r>
      <w:r w:rsidR="00153B1E">
        <w:t xml:space="preserve">and capstone </w:t>
      </w:r>
      <w:r>
        <w:t>experiences for the previous calendar year (denials are not included).</w:t>
      </w:r>
      <w:r w:rsidR="0089641A">
        <w:t xml:space="preserve"> </w:t>
      </w:r>
      <w:r>
        <w:t>Scales are the same for both Education and Clinical pre-licensure members.</w:t>
      </w:r>
      <w:r w:rsidR="0089641A">
        <w:t xml:space="preserve"> Membership dues</w:t>
      </w:r>
      <w:r>
        <w:t xml:space="preserve"> are based on usage of services.</w:t>
      </w: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686"/>
        <w:gridCol w:w="1826"/>
        <w:gridCol w:w="1947"/>
      </w:tblGrid>
      <w:tr w:rsidR="00F15246" w:rsidRPr="00A632E2" w14:paraId="69105EB8" w14:textId="77777777" w:rsidTr="00414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9" w:type="dxa"/>
            <w:gridSpan w:val="3"/>
            <w:shd w:val="clear" w:color="auto" w:fill="auto"/>
          </w:tcPr>
          <w:p w14:paraId="16E1A1FF" w14:textId="77777777" w:rsidR="00F15246" w:rsidRPr="00A632E2" w:rsidRDefault="00F15246" w:rsidP="0041479D">
            <w:pPr>
              <w:shd w:val="clear" w:color="auto" w:fill="D9D9D9" w:themeFill="background1" w:themeFillShade="D9"/>
              <w:tabs>
                <w:tab w:val="left" w:pos="300"/>
                <w:tab w:val="center" w:pos="2121"/>
              </w:tabs>
              <w:rPr>
                <w:color w:val="FFFFFF" w:themeColor="background1"/>
              </w:rPr>
            </w:pPr>
            <w:r>
              <w:tab/>
            </w:r>
            <w:r>
              <w:tab/>
            </w:r>
            <w:r w:rsidRPr="00A632E2">
              <w:t>2016 – 2018 Scale</w:t>
            </w:r>
          </w:p>
        </w:tc>
      </w:tr>
      <w:tr w:rsidR="00F15246" w:rsidRPr="00A632E2" w14:paraId="43F6EF0C" w14:textId="77777777" w:rsidTr="00414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340EA3B1" w14:textId="77777777" w:rsidR="00F15246" w:rsidRPr="00A632E2" w:rsidRDefault="00F15246" w:rsidP="0041479D">
            <w:r w:rsidRPr="00A632E2">
              <w:t>Scale</w:t>
            </w:r>
          </w:p>
        </w:tc>
        <w:tc>
          <w:tcPr>
            <w:tcW w:w="1826" w:type="dxa"/>
          </w:tcPr>
          <w:p w14:paraId="30AA97E4" w14:textId="77777777" w:rsidR="00F15246" w:rsidRPr="00A632E2" w:rsidRDefault="00F15246" w:rsidP="00414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2E2">
              <w:t>Experience Range</w:t>
            </w:r>
          </w:p>
        </w:tc>
        <w:tc>
          <w:tcPr>
            <w:tcW w:w="1947" w:type="dxa"/>
          </w:tcPr>
          <w:p w14:paraId="1B91D076" w14:textId="77777777" w:rsidR="00F15246" w:rsidRPr="00A632E2" w:rsidRDefault="00F15246" w:rsidP="00414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2E2">
              <w:t>Memb</w:t>
            </w:r>
            <w:r>
              <w:t>er</w:t>
            </w:r>
            <w:r w:rsidRPr="00A632E2">
              <w:t xml:space="preserve"> Dues</w:t>
            </w:r>
          </w:p>
        </w:tc>
      </w:tr>
      <w:tr w:rsidR="00F15246" w:rsidRPr="00A632E2" w14:paraId="0BCF6C2E" w14:textId="77777777" w:rsidTr="00414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733D7154" w14:textId="77777777" w:rsidR="00F15246" w:rsidRPr="00A632E2" w:rsidRDefault="00F15246" w:rsidP="0041479D">
            <w:pPr>
              <w:jc w:val="center"/>
            </w:pPr>
            <w:r w:rsidRPr="00A632E2">
              <w:t>A</w:t>
            </w:r>
          </w:p>
        </w:tc>
        <w:tc>
          <w:tcPr>
            <w:tcW w:w="1826" w:type="dxa"/>
          </w:tcPr>
          <w:p w14:paraId="173198C8" w14:textId="77777777" w:rsidR="00F15246" w:rsidRPr="00A632E2" w:rsidRDefault="00F15246" w:rsidP="0041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2E2">
              <w:t>1,000+</w:t>
            </w:r>
          </w:p>
        </w:tc>
        <w:tc>
          <w:tcPr>
            <w:tcW w:w="1947" w:type="dxa"/>
          </w:tcPr>
          <w:p w14:paraId="64BEEE78" w14:textId="77777777" w:rsidR="00F15246" w:rsidRPr="00A632E2" w:rsidRDefault="00F15246" w:rsidP="0041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2E2">
              <w:t>$13,500</w:t>
            </w:r>
          </w:p>
        </w:tc>
      </w:tr>
      <w:tr w:rsidR="00F15246" w:rsidRPr="00A632E2" w14:paraId="09DA3193" w14:textId="77777777" w:rsidTr="00414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2F75DA7B" w14:textId="77777777" w:rsidR="00F15246" w:rsidRPr="00A632E2" w:rsidRDefault="00F15246" w:rsidP="0041479D">
            <w:pPr>
              <w:jc w:val="center"/>
            </w:pPr>
            <w:r w:rsidRPr="00A632E2">
              <w:t>B</w:t>
            </w:r>
          </w:p>
        </w:tc>
        <w:tc>
          <w:tcPr>
            <w:tcW w:w="1826" w:type="dxa"/>
          </w:tcPr>
          <w:p w14:paraId="574B7C3F" w14:textId="77777777" w:rsidR="00F15246" w:rsidRPr="00A632E2" w:rsidRDefault="00F15246" w:rsidP="00414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2E2">
              <w:t>750</w:t>
            </w:r>
            <w:r>
              <w:t>-999</w:t>
            </w:r>
          </w:p>
        </w:tc>
        <w:tc>
          <w:tcPr>
            <w:tcW w:w="1947" w:type="dxa"/>
          </w:tcPr>
          <w:p w14:paraId="05EA5562" w14:textId="77777777" w:rsidR="00F15246" w:rsidRPr="00A632E2" w:rsidRDefault="00F15246" w:rsidP="00414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2E2">
              <w:t>$11,500</w:t>
            </w:r>
          </w:p>
        </w:tc>
      </w:tr>
      <w:tr w:rsidR="00F15246" w:rsidRPr="00A632E2" w14:paraId="043A22F7" w14:textId="77777777" w:rsidTr="00414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12AC84E2" w14:textId="77777777" w:rsidR="00F15246" w:rsidRPr="00A632E2" w:rsidRDefault="00F15246" w:rsidP="0041479D">
            <w:pPr>
              <w:jc w:val="center"/>
            </w:pPr>
            <w:r w:rsidRPr="00A632E2">
              <w:t>C</w:t>
            </w:r>
          </w:p>
        </w:tc>
        <w:tc>
          <w:tcPr>
            <w:tcW w:w="1826" w:type="dxa"/>
          </w:tcPr>
          <w:p w14:paraId="7F729994" w14:textId="77777777" w:rsidR="00F15246" w:rsidRPr="00A632E2" w:rsidRDefault="00F15246" w:rsidP="0041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500-749</w:t>
            </w:r>
          </w:p>
        </w:tc>
        <w:tc>
          <w:tcPr>
            <w:tcW w:w="1947" w:type="dxa"/>
          </w:tcPr>
          <w:p w14:paraId="6A7ACDE8" w14:textId="77777777" w:rsidR="00F15246" w:rsidRPr="00A632E2" w:rsidRDefault="00F15246" w:rsidP="0041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2E2">
              <w:t>$9,500</w:t>
            </w:r>
          </w:p>
        </w:tc>
      </w:tr>
      <w:tr w:rsidR="00F15246" w:rsidRPr="00A632E2" w14:paraId="65B39475" w14:textId="77777777" w:rsidTr="00414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455BFD80" w14:textId="77777777" w:rsidR="00F15246" w:rsidRPr="00A632E2" w:rsidRDefault="00F15246" w:rsidP="0041479D">
            <w:pPr>
              <w:jc w:val="center"/>
            </w:pPr>
            <w:r w:rsidRPr="00A632E2">
              <w:t>D</w:t>
            </w:r>
          </w:p>
        </w:tc>
        <w:tc>
          <w:tcPr>
            <w:tcW w:w="1826" w:type="dxa"/>
          </w:tcPr>
          <w:p w14:paraId="7518F1EF" w14:textId="77777777" w:rsidR="00F15246" w:rsidRPr="00A632E2" w:rsidRDefault="00F15246" w:rsidP="00414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350-499</w:t>
            </w:r>
          </w:p>
        </w:tc>
        <w:tc>
          <w:tcPr>
            <w:tcW w:w="1947" w:type="dxa"/>
          </w:tcPr>
          <w:p w14:paraId="5906673E" w14:textId="77777777" w:rsidR="00F15246" w:rsidRPr="00A632E2" w:rsidRDefault="00F15246" w:rsidP="00414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2E2">
              <w:t>$7,500</w:t>
            </w:r>
          </w:p>
        </w:tc>
      </w:tr>
      <w:tr w:rsidR="00F15246" w:rsidRPr="00A632E2" w14:paraId="7B73F9B6" w14:textId="77777777" w:rsidTr="00414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35532BAA" w14:textId="77777777" w:rsidR="00F15246" w:rsidRPr="00A632E2" w:rsidRDefault="00F15246" w:rsidP="0041479D">
            <w:pPr>
              <w:jc w:val="center"/>
            </w:pPr>
            <w:r w:rsidRPr="00A632E2">
              <w:t>E</w:t>
            </w:r>
          </w:p>
        </w:tc>
        <w:tc>
          <w:tcPr>
            <w:tcW w:w="1826" w:type="dxa"/>
          </w:tcPr>
          <w:p w14:paraId="52BEE675" w14:textId="77777777" w:rsidR="00F15246" w:rsidRPr="00A632E2" w:rsidRDefault="00F15246" w:rsidP="0041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100-349</w:t>
            </w:r>
          </w:p>
        </w:tc>
        <w:tc>
          <w:tcPr>
            <w:tcW w:w="1947" w:type="dxa"/>
          </w:tcPr>
          <w:p w14:paraId="009BFE35" w14:textId="77777777" w:rsidR="00F15246" w:rsidRPr="00A632E2" w:rsidRDefault="00F15246" w:rsidP="0041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2E2">
              <w:t>$5,500</w:t>
            </w:r>
          </w:p>
        </w:tc>
      </w:tr>
      <w:tr w:rsidR="00F15246" w:rsidRPr="00A632E2" w14:paraId="4E4C2354" w14:textId="77777777" w:rsidTr="00414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2B3FBFBE" w14:textId="77777777" w:rsidR="00F15246" w:rsidRPr="00A632E2" w:rsidRDefault="00F15246" w:rsidP="0041479D">
            <w:pPr>
              <w:jc w:val="center"/>
            </w:pPr>
            <w:r w:rsidRPr="00A632E2">
              <w:t>F</w:t>
            </w:r>
          </w:p>
        </w:tc>
        <w:tc>
          <w:tcPr>
            <w:tcW w:w="1826" w:type="dxa"/>
          </w:tcPr>
          <w:p w14:paraId="47ABAE5F" w14:textId="77777777" w:rsidR="00F15246" w:rsidRPr="00A632E2" w:rsidRDefault="00F15246" w:rsidP="00414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20-99</w:t>
            </w:r>
          </w:p>
        </w:tc>
        <w:tc>
          <w:tcPr>
            <w:tcW w:w="1947" w:type="dxa"/>
          </w:tcPr>
          <w:p w14:paraId="204D3DE4" w14:textId="77777777" w:rsidR="00F15246" w:rsidRPr="00A632E2" w:rsidRDefault="00F15246" w:rsidP="00414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2E2">
              <w:t>$3,000</w:t>
            </w:r>
          </w:p>
        </w:tc>
      </w:tr>
      <w:tr w:rsidR="00F15246" w:rsidRPr="00A632E2" w14:paraId="33114B62" w14:textId="77777777" w:rsidTr="00414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59F41CA3" w14:textId="77777777" w:rsidR="00F15246" w:rsidRPr="00A632E2" w:rsidRDefault="00F15246" w:rsidP="0041479D">
            <w:pPr>
              <w:jc w:val="center"/>
            </w:pPr>
            <w:r w:rsidRPr="00A632E2">
              <w:t>G</w:t>
            </w:r>
          </w:p>
        </w:tc>
        <w:tc>
          <w:tcPr>
            <w:tcW w:w="1826" w:type="dxa"/>
          </w:tcPr>
          <w:p w14:paraId="04FB923A" w14:textId="77777777" w:rsidR="00F15246" w:rsidRPr="00A632E2" w:rsidRDefault="00F15246" w:rsidP="0041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2E2">
              <w:t>&lt;20</w:t>
            </w:r>
          </w:p>
        </w:tc>
        <w:tc>
          <w:tcPr>
            <w:tcW w:w="1947" w:type="dxa"/>
          </w:tcPr>
          <w:p w14:paraId="42257BF5" w14:textId="77777777" w:rsidR="00F15246" w:rsidRPr="00A632E2" w:rsidRDefault="00F15246" w:rsidP="0041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2E2">
              <w:t>$100/Exp</w:t>
            </w:r>
          </w:p>
        </w:tc>
      </w:tr>
    </w:tbl>
    <w:p w14:paraId="3985BF3A" w14:textId="77777777" w:rsidR="00F15246" w:rsidRDefault="00F15246" w:rsidP="00F15246"/>
    <w:p w14:paraId="5B05D8A1" w14:textId="77777777" w:rsidR="00F15246" w:rsidRDefault="00F15246" w:rsidP="00F1524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ABE1E" wp14:editId="57CC704F">
                <wp:simplePos x="0" y="0"/>
                <wp:positionH relativeFrom="column">
                  <wp:posOffset>-47625</wp:posOffset>
                </wp:positionH>
                <wp:positionV relativeFrom="paragraph">
                  <wp:posOffset>21591</wp:posOffset>
                </wp:positionV>
                <wp:extent cx="6477000" cy="1943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1A9CF5" w14:textId="77777777" w:rsidR="0041479D" w:rsidRDefault="0041479D" w:rsidP="00F15246">
                            <w:r>
                              <w:t>Process &amp; Unique User Notes:</w:t>
                            </w:r>
                          </w:p>
                          <w:p w14:paraId="0E044636" w14:textId="77777777" w:rsidR="0041479D" w:rsidRDefault="0041479D" w:rsidP="00F1524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Schools are emailed a report listing their experiences for the annual year four weeks prior to dues calculation in order to review and submit edits that reflect actual activity.</w:t>
                            </w:r>
                          </w:p>
                          <w:p w14:paraId="55064BF9" w14:textId="5073FD10" w:rsidR="0041479D" w:rsidRDefault="0041479D" w:rsidP="00F1524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If members increase a </w:t>
                            </w:r>
                            <w:r w:rsidR="00D52F80">
                              <w:t>level,</w:t>
                            </w:r>
                            <w:r>
                              <w:t xml:space="preserve"> they are given a year at the previous rate before the increase is implemented.</w:t>
                            </w:r>
                          </w:p>
                          <w:p w14:paraId="6D9D7ECC" w14:textId="77777777" w:rsidR="0041479D" w:rsidRDefault="0041479D" w:rsidP="00F1524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If members decrease a level, the decreased dues are implemented in the current year’s billing cycle.</w:t>
                            </w:r>
                          </w:p>
                          <w:p w14:paraId="4E16552A" w14:textId="77777777" w:rsidR="0041479D" w:rsidRDefault="0041479D" w:rsidP="00F1524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All members may submit an appeal of their dues within 60 days of receiving their annual report.</w:t>
                            </w:r>
                          </w:p>
                          <w:p w14:paraId="49CE0C3E" w14:textId="3113D5C3" w:rsidR="0041479D" w:rsidRDefault="0041479D" w:rsidP="00F1524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Regions that only utilize TCCP software (i.e., La Crosse) have a rate that is determined by the TCCP Advisory Committee at the same time as the Membership Dues Scale re-evaluation. The fact that they do not use TCCP staff resources is taken into consideration when setting their dues.</w:t>
                            </w:r>
                          </w:p>
                          <w:p w14:paraId="00B87427" w14:textId="77777777" w:rsidR="0041479D" w:rsidRDefault="0041479D" w:rsidP="00F15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BE1E" id="Text Box 7" o:spid="_x0000_s1029" type="#_x0000_t202" style="position:absolute;margin-left:-3.75pt;margin-top:1.7pt;width:510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" fillcolor="window" stroked="f" strokeweight=".5pt">
                <v:textbox>
                  <w:txbxContent>
                    <w:p w14:paraId="6E1A9CF5" w14:textId="77777777" w:rsidR="0041479D" w:rsidRDefault="0041479D" w:rsidP="00F15246">
                      <w:r>
                        <w:t>Process &amp; Unique User Notes:</w:t>
                      </w:r>
                    </w:p>
                    <w:p w14:paraId="0E044636" w14:textId="77777777" w:rsidR="0041479D" w:rsidRDefault="0041479D" w:rsidP="00F15246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Schools are emailed a report listing their experiences for the annual year four weeks prior to dues calculation in order to review and submit edits that reflect actual activity.</w:t>
                      </w:r>
                    </w:p>
                    <w:p w14:paraId="55064BF9" w14:textId="5073FD10" w:rsidR="0041479D" w:rsidRDefault="0041479D" w:rsidP="00F15246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If members increase a </w:t>
                      </w:r>
                      <w:r w:rsidR="00D52F80">
                        <w:t>level,</w:t>
                      </w:r>
                      <w:r>
                        <w:t xml:space="preserve"> they are given a year at the previous rate before the increase is implemented.</w:t>
                      </w:r>
                    </w:p>
                    <w:p w14:paraId="6D9D7ECC" w14:textId="77777777" w:rsidR="0041479D" w:rsidRDefault="0041479D" w:rsidP="00F15246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If members decrease a level, the decreased dues are implemented in the current year’s billing cycle.</w:t>
                      </w:r>
                    </w:p>
                    <w:p w14:paraId="4E16552A" w14:textId="77777777" w:rsidR="0041479D" w:rsidRDefault="0041479D" w:rsidP="00F15246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All members may submit an appeal of their dues within 60 days of receiving their annual report.</w:t>
                      </w:r>
                    </w:p>
                    <w:p w14:paraId="49CE0C3E" w14:textId="3113D5C3" w:rsidR="0041479D" w:rsidRDefault="0041479D" w:rsidP="00F15246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Regions that only utilize TCCP software (i.e., La Crosse) have a rate that is determined by the TCCP Advisory Committee at the same time as the Membership Dues Scale re-evaluation. The fact that they do not use TCCP staff resources is taken into consideration when setting their dues.</w:t>
                      </w:r>
                    </w:p>
                    <w:p w14:paraId="00B87427" w14:textId="77777777" w:rsidR="0041479D" w:rsidRDefault="0041479D" w:rsidP="00F15246"/>
                  </w:txbxContent>
                </v:textbox>
              </v:shape>
            </w:pict>
          </mc:Fallback>
        </mc:AlternateContent>
      </w:r>
    </w:p>
    <w:p w14:paraId="0A547A0C" w14:textId="77777777" w:rsidR="00F15246" w:rsidRDefault="00F15246" w:rsidP="00F15246"/>
    <w:p w14:paraId="65DAE4DD" w14:textId="77777777" w:rsidR="00F15246" w:rsidRDefault="00F15246" w:rsidP="00F15246"/>
    <w:p w14:paraId="198AEF91" w14:textId="77777777" w:rsidR="00F15246" w:rsidRDefault="00F15246" w:rsidP="00F15246"/>
    <w:p w14:paraId="02155C21" w14:textId="77777777" w:rsidR="00F15246" w:rsidRDefault="00F15246" w:rsidP="00F15246"/>
    <w:p w14:paraId="087C1849" w14:textId="77777777" w:rsidR="00F15246" w:rsidRPr="006D5237" w:rsidRDefault="00F15246" w:rsidP="00F15246">
      <w:pPr>
        <w:rPr>
          <w:b/>
          <w:sz w:val="16"/>
          <w:szCs w:val="16"/>
        </w:rPr>
      </w:pPr>
    </w:p>
    <w:p w14:paraId="1BBC6823" w14:textId="77777777" w:rsidR="00F15246" w:rsidRDefault="00F15246" w:rsidP="00F15246">
      <w:pPr>
        <w:rPr>
          <w:b/>
        </w:rPr>
      </w:pPr>
      <w:r>
        <w:rPr>
          <w:b/>
        </w:rPr>
        <w:br/>
      </w:r>
      <w:r>
        <w:rPr>
          <w:b/>
        </w:rPr>
        <w:br/>
        <w:t>What TCCP Membership Dues Fund</w:t>
      </w:r>
    </w:p>
    <w:p w14:paraId="686CC836" w14:textId="0D9A01D5" w:rsidR="0017700F" w:rsidRDefault="00F15246" w:rsidP="00ED53C4">
      <w:pPr>
        <w:rPr>
          <w:i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D5BF7" wp14:editId="0ABE07B2">
                <wp:simplePos x="0" y="0"/>
                <wp:positionH relativeFrom="column">
                  <wp:posOffset>2994660</wp:posOffset>
                </wp:positionH>
                <wp:positionV relativeFrom="paragraph">
                  <wp:posOffset>6985</wp:posOffset>
                </wp:positionV>
                <wp:extent cx="3390900" cy="2270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270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392B7" w14:textId="77777777" w:rsidR="0041479D" w:rsidRDefault="0041479D" w:rsidP="00F1524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Direct Services: staffing for implementation of TCCP’s task saving services, partnership coordination, coordination of special clinical activity workgroups, maintain TCCP software, new and turnover partner orientation.</w:t>
                            </w:r>
                          </w:p>
                          <w:p w14:paraId="0D205FD5" w14:textId="77777777" w:rsidR="0041479D" w:rsidRDefault="0041479D" w:rsidP="00F1524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Service Growth: research, development and implementation of new services that assist members (i.e., Student Passport).</w:t>
                            </w:r>
                          </w:p>
                          <w:p w14:paraId="2E0930D7" w14:textId="77777777" w:rsidR="0041479D" w:rsidRDefault="0041479D" w:rsidP="00F1524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Technology Management: software maintenance, enhancements and security subscriptions</w:t>
                            </w:r>
                          </w:p>
                          <w:p w14:paraId="31A3865E" w14:textId="77777777" w:rsidR="0041479D" w:rsidRDefault="0041479D" w:rsidP="0041479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Admin: office supplies, computers and phones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5BF7" id="Text Box 8" o:spid="_x0000_s1030" type="#_x0000_t202" style="position:absolute;margin-left:235.8pt;margin-top:.55pt;width:267pt;height:17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" fillcolor="white [3201]" stroked="f" strokeweight=".5pt">
                <v:textbox>
                  <w:txbxContent>
                    <w:p w14:paraId="7D0392B7" w14:textId="77777777" w:rsidR="0041479D" w:rsidRDefault="0041479D" w:rsidP="00F15246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Direct Services: staffing for implementation of TCCP’s task saving services, partnership coordination, coordination of special clinical activity workgroups, maintain TCCP software, new and turnover partner orientation.</w:t>
                      </w:r>
                    </w:p>
                    <w:p w14:paraId="0D205FD5" w14:textId="77777777" w:rsidR="0041479D" w:rsidRDefault="0041479D" w:rsidP="00F15246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Service Growth: research, development and implementation of new services that assist members (i.e., Student Passport).</w:t>
                      </w:r>
                    </w:p>
                    <w:p w14:paraId="2E0930D7" w14:textId="77777777" w:rsidR="0041479D" w:rsidRDefault="0041479D" w:rsidP="00F15246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Technology Management: software maintenance, enhancements and security subscriptions</w:t>
                      </w:r>
                    </w:p>
                    <w:p w14:paraId="31A3865E" w14:textId="77777777" w:rsidR="0041479D" w:rsidRDefault="0041479D" w:rsidP="0041479D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Admin: office supplies, computers and phones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39FFE5" wp14:editId="471AD1ED">
            <wp:extent cx="2971800" cy="2255520"/>
            <wp:effectExtent l="0" t="0" r="19050" b="1143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22CCF76" w14:textId="5333CDA9" w:rsidR="0017700F" w:rsidRDefault="0017700F" w:rsidP="00ED53C4">
      <w:pPr>
        <w:rPr>
          <w:i/>
          <w:color w:val="002060"/>
        </w:rPr>
        <w:sectPr w:rsidR="0017700F" w:rsidSect="0021384B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F468C5" w14:textId="77777777" w:rsidR="0017700F" w:rsidRDefault="0017700F" w:rsidP="0017700F">
      <w:pPr>
        <w:pStyle w:val="NoSpacing"/>
      </w:pPr>
    </w:p>
    <w:p w14:paraId="0F644887" w14:textId="77777777" w:rsidR="0017700F" w:rsidRDefault="0017700F" w:rsidP="0017700F">
      <w:pPr>
        <w:pStyle w:val="NoSpacing"/>
      </w:pPr>
    </w:p>
    <w:p w14:paraId="6A2AC441" w14:textId="6DE6F92F" w:rsidR="0017700F" w:rsidRDefault="0017700F" w:rsidP="0017700F">
      <w:pPr>
        <w:pStyle w:val="NoSpacing"/>
        <w:shd w:val="clear" w:color="auto" w:fill="002060"/>
        <w:jc w:val="center"/>
        <w:rPr>
          <w:rFonts w:ascii="Arial" w:hAnsi="Arial" w:cs="Arial"/>
          <w:b/>
          <w:color w:val="FFC000"/>
          <w:sz w:val="28"/>
          <w:szCs w:val="28"/>
        </w:rPr>
      </w:pPr>
      <w:r w:rsidRPr="00F12BED">
        <w:rPr>
          <w:rFonts w:ascii="Arial" w:hAnsi="Arial" w:cs="Arial"/>
          <w:b/>
          <w:color w:val="FFC000"/>
          <w:sz w:val="28"/>
          <w:szCs w:val="28"/>
        </w:rPr>
        <w:t>T</w:t>
      </w:r>
      <w:r>
        <w:rPr>
          <w:rFonts w:ascii="Arial" w:hAnsi="Arial" w:cs="Arial"/>
          <w:b/>
          <w:color w:val="FFC000"/>
          <w:sz w:val="28"/>
          <w:szCs w:val="28"/>
        </w:rPr>
        <w:t>he Clinical Coordination Partnership</w:t>
      </w:r>
    </w:p>
    <w:p w14:paraId="6E65BA40" w14:textId="40D18E05" w:rsidR="0017700F" w:rsidRDefault="0017700F" w:rsidP="0017700F">
      <w:pPr>
        <w:pStyle w:val="NoSpacing"/>
        <w:shd w:val="clear" w:color="auto" w:fill="002060"/>
        <w:jc w:val="center"/>
      </w:pPr>
      <w:r w:rsidRPr="00F12BED">
        <w:rPr>
          <w:rFonts w:ascii="Arial" w:hAnsi="Arial" w:cs="Arial"/>
          <w:b/>
          <w:color w:val="FFC000"/>
          <w:sz w:val="28"/>
          <w:szCs w:val="28"/>
        </w:rPr>
        <w:t xml:space="preserve">Advisory Committee </w:t>
      </w:r>
      <w:r>
        <w:rPr>
          <w:rFonts w:ascii="Arial" w:hAnsi="Arial" w:cs="Arial"/>
          <w:b/>
          <w:color w:val="FFC000"/>
          <w:sz w:val="28"/>
          <w:szCs w:val="28"/>
        </w:rPr>
        <w:t>Members</w:t>
      </w:r>
      <w:r w:rsidR="00C74A7D">
        <w:rPr>
          <w:rFonts w:ascii="Arial" w:hAnsi="Arial" w:cs="Arial"/>
          <w:b/>
          <w:color w:val="FFC000"/>
          <w:sz w:val="28"/>
          <w:szCs w:val="28"/>
        </w:rPr>
        <w:t>hip</w:t>
      </w:r>
    </w:p>
    <w:p w14:paraId="0B425FF8" w14:textId="0C68618C" w:rsidR="0017700F" w:rsidRDefault="0017700F" w:rsidP="00ED53C4">
      <w:pPr>
        <w:rPr>
          <w:color w:val="002060"/>
        </w:rPr>
      </w:pPr>
    </w:p>
    <w:tbl>
      <w:tblPr>
        <w:tblW w:w="13304" w:type="dxa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885"/>
        <w:gridCol w:w="1260"/>
        <w:gridCol w:w="1350"/>
        <w:gridCol w:w="4050"/>
        <w:gridCol w:w="4759"/>
      </w:tblGrid>
      <w:tr w:rsidR="006E0BAF" w:rsidRPr="0017700F" w14:paraId="6FACE824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B4C6E7" w:themeFill="accent1" w:themeFillTint="66"/>
            <w:noWrap/>
            <w:vAlign w:val="bottom"/>
            <w:hideMark/>
          </w:tcPr>
          <w:p w14:paraId="22FB137D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b/>
                <w:bCs/>
                <w:color w:val="000000"/>
              </w:rPr>
              <w:t>Site</w:t>
            </w:r>
          </w:p>
        </w:tc>
        <w:tc>
          <w:tcPr>
            <w:tcW w:w="1260" w:type="dxa"/>
            <w:shd w:val="clear" w:color="auto" w:fill="B4C6E7" w:themeFill="accent1" w:themeFillTint="66"/>
            <w:noWrap/>
            <w:vAlign w:val="bottom"/>
            <w:hideMark/>
          </w:tcPr>
          <w:p w14:paraId="1527738F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1350" w:type="dxa"/>
            <w:shd w:val="clear" w:color="auto" w:fill="B4C6E7" w:themeFill="accent1" w:themeFillTint="66"/>
            <w:noWrap/>
            <w:vAlign w:val="bottom"/>
            <w:hideMark/>
          </w:tcPr>
          <w:p w14:paraId="258903ED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b/>
                <w:bCs/>
                <w:color w:val="000000"/>
              </w:rPr>
              <w:t>Last Name</w:t>
            </w:r>
          </w:p>
        </w:tc>
        <w:tc>
          <w:tcPr>
            <w:tcW w:w="4050" w:type="dxa"/>
            <w:shd w:val="clear" w:color="auto" w:fill="B4C6E7" w:themeFill="accent1" w:themeFillTint="66"/>
            <w:noWrap/>
            <w:vAlign w:val="bottom"/>
            <w:hideMark/>
          </w:tcPr>
          <w:p w14:paraId="14685FCF" w14:textId="548989B0" w:rsidR="0017700F" w:rsidRPr="0017700F" w:rsidRDefault="006E0BAF" w:rsidP="0017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Email </w:t>
            </w:r>
            <w:r w:rsidR="0017700F" w:rsidRPr="0017700F">
              <w:rPr>
                <w:rFonts w:ascii="Calibri" w:eastAsia="Times New Roman" w:hAnsi="Calibri" w:cs="Times New Roman"/>
                <w:b/>
                <w:bCs/>
                <w:color w:val="000000"/>
              </w:rPr>
              <w:t>Address</w:t>
            </w:r>
          </w:p>
        </w:tc>
        <w:tc>
          <w:tcPr>
            <w:tcW w:w="4759" w:type="dxa"/>
            <w:shd w:val="clear" w:color="auto" w:fill="B4C6E7" w:themeFill="accent1" w:themeFillTint="66"/>
            <w:noWrap/>
            <w:vAlign w:val="bottom"/>
            <w:hideMark/>
          </w:tcPr>
          <w:p w14:paraId="03305155" w14:textId="36A21AAA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Representing</w:t>
            </w:r>
          </w:p>
        </w:tc>
      </w:tr>
      <w:tr w:rsidR="006E0BAF" w:rsidRPr="0017700F" w14:paraId="4104CA06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752AB1C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Allina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7B2FA9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Ann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5E01BBF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7700F">
              <w:rPr>
                <w:rFonts w:ascii="Calibri" w:eastAsia="Times New Roman" w:hAnsi="Calibri" w:cs="Times New Roman"/>
                <w:color w:val="000000"/>
              </w:rPr>
              <w:t>Yolitz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1952E74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7700F">
              <w:rPr>
                <w:rFonts w:ascii="Calibri" w:eastAsia="Times New Roman" w:hAnsi="Calibri" w:cs="Times New Roman"/>
                <w:color w:val="0563C1"/>
                <w:u w:val="single"/>
              </w:rPr>
              <w:t>annette.yolitz@allina.com</w:t>
            </w:r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14:paraId="7323D73A" w14:textId="7D2815C5" w:rsidR="0017700F" w:rsidRPr="0017700F" w:rsidRDefault="006B21E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Health</w:t>
            </w:r>
            <w:r w:rsidR="0017700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17700F">
              <w:rPr>
                <w:rFonts w:ascii="Calibri" w:eastAsia="Times New Roman" w:hAnsi="Calibri" w:cs="Times New Roman"/>
                <w:color w:val="000000"/>
              </w:rPr>
              <w:t>ystem (</w:t>
            </w:r>
            <w:r w:rsidR="0017700F" w:rsidRPr="0017700F">
              <w:rPr>
                <w:rFonts w:ascii="Calibri" w:eastAsia="Times New Roman" w:hAnsi="Calibri" w:cs="Times New Roman"/>
                <w:color w:val="000000"/>
              </w:rPr>
              <w:t>TCCP Chair, reelected Nov</w:t>
            </w:r>
            <w:r w:rsidR="0017700F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17700F" w:rsidRPr="0017700F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  <w:r w:rsidR="0017700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6E0BAF" w:rsidRPr="0017700F" w14:paraId="2F99995B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auto"/>
            <w:noWrap/>
            <w:vAlign w:val="bottom"/>
          </w:tcPr>
          <w:p w14:paraId="6FC72F0E" w14:textId="31128236" w:rsidR="00C21091" w:rsidRPr="0017700F" w:rsidRDefault="00C21091" w:rsidP="00C21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HealthPartners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76514FC" w14:textId="2E1A1CEC" w:rsidR="00C21091" w:rsidRPr="0017700F" w:rsidRDefault="00C21091" w:rsidP="00C21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Char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BE2ECC7" w14:textId="3AD45244" w:rsidR="00C21091" w:rsidRPr="0017700F" w:rsidRDefault="00C21091" w:rsidP="00C21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Baum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 w14:paraId="1BA250FB" w14:textId="7E64CDF2" w:rsidR="00C21091" w:rsidRPr="0017700F" w:rsidRDefault="00C21091" w:rsidP="00C2109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7700F">
              <w:rPr>
                <w:rFonts w:ascii="Calibri" w:eastAsia="Times New Roman" w:hAnsi="Calibri" w:cs="Times New Roman"/>
                <w:color w:val="0563C1"/>
                <w:u w:val="single"/>
              </w:rPr>
              <w:t>Charlene.A.Baum@HealthPartners.Com</w:t>
            </w:r>
          </w:p>
        </w:tc>
        <w:tc>
          <w:tcPr>
            <w:tcW w:w="4759" w:type="dxa"/>
            <w:shd w:val="clear" w:color="auto" w:fill="auto"/>
            <w:noWrap/>
            <w:vAlign w:val="bottom"/>
          </w:tcPr>
          <w:p w14:paraId="3D0979FC" w14:textId="7C3DB58C" w:rsidR="00C21091" w:rsidRPr="0017700F" w:rsidRDefault="00C21091" w:rsidP="00C21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Health System (alternate)</w:t>
            </w:r>
          </w:p>
        </w:tc>
      </w:tr>
      <w:tr w:rsidR="006E0BAF" w:rsidRPr="0017700F" w14:paraId="40BB925A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29D059C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Essentia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ED0B6F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Christina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CDC9264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Marshall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4E8E3D6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7700F">
              <w:rPr>
                <w:rFonts w:ascii="Calibri" w:eastAsia="Times New Roman" w:hAnsi="Calibri" w:cs="Times New Roman"/>
                <w:color w:val="0563C1"/>
                <w:u w:val="single"/>
              </w:rPr>
              <w:t>Christina.Marshall@eirh.org</w:t>
            </w:r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14:paraId="25797CF5" w14:textId="521939CA" w:rsidR="0017700F" w:rsidRPr="0017700F" w:rsidRDefault="006B21E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Health System</w:t>
            </w:r>
          </w:p>
        </w:tc>
      </w:tr>
      <w:tr w:rsidR="006E0BAF" w:rsidRPr="0017700F" w14:paraId="3DC013EB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6EA6E3E" w14:textId="4D7A8438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="006E0BAF">
              <w:rPr>
                <w:rFonts w:ascii="Calibri" w:eastAsia="Times New Roman" w:hAnsi="Calibri" w:cs="Times New Roman"/>
                <w:color w:val="000000"/>
              </w:rPr>
              <w:t>ake Superior Coll.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9441C7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Deb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4AC2F82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7700F">
              <w:rPr>
                <w:rFonts w:ascii="Calibri" w:eastAsia="Times New Roman" w:hAnsi="Calibri" w:cs="Times New Roman"/>
                <w:color w:val="000000"/>
              </w:rPr>
              <w:t>Amys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CA75B41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7700F">
              <w:rPr>
                <w:rFonts w:ascii="Calibri" w:eastAsia="Times New Roman" w:hAnsi="Calibri" w:cs="Times New Roman"/>
                <w:color w:val="0563C1"/>
                <w:u w:val="single"/>
              </w:rPr>
              <w:t>d.amys@lsc.edu</w:t>
            </w:r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14:paraId="5B649BF6" w14:textId="6A97F24F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 xml:space="preserve">MN State AD </w:t>
            </w:r>
          </w:p>
        </w:tc>
      </w:tr>
      <w:tr w:rsidR="006E0BAF" w:rsidRPr="0017700F" w14:paraId="29FD0FB0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CC8F943" w14:textId="40C21335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St</w:t>
            </w:r>
            <w:r w:rsidR="006E0BAF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17700F">
              <w:rPr>
                <w:rFonts w:ascii="Calibri" w:eastAsia="Times New Roman" w:hAnsi="Calibri" w:cs="Times New Roman"/>
                <w:color w:val="000000"/>
              </w:rPr>
              <w:t xml:space="preserve"> Kate</w:t>
            </w:r>
            <w:r w:rsidR="006E0BAF">
              <w:rPr>
                <w:rFonts w:ascii="Calibri" w:eastAsia="Times New Roman" w:hAnsi="Calibri" w:cs="Times New Roman"/>
                <w:color w:val="000000"/>
              </w:rPr>
              <w:t>’s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0F3F7B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 xml:space="preserve">Heather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50317BF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7700F">
              <w:rPr>
                <w:rFonts w:ascii="Calibri" w:eastAsia="Times New Roman" w:hAnsi="Calibri" w:cs="Times New Roman"/>
                <w:color w:val="000000"/>
              </w:rPr>
              <w:t>Bidinger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2B2A77E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7700F">
              <w:rPr>
                <w:rFonts w:ascii="Calibri" w:eastAsia="Times New Roman" w:hAnsi="Calibri" w:cs="Times New Roman"/>
                <w:color w:val="0563C1"/>
                <w:u w:val="single"/>
              </w:rPr>
              <w:t>hkbidinger@stkate.edu</w:t>
            </w:r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14:paraId="7AD073F2" w14:textId="7B9FE586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PA</w:t>
            </w:r>
            <w:r w:rsidR="006B21EF">
              <w:rPr>
                <w:rFonts w:ascii="Calibri" w:eastAsia="Times New Roman" w:hAnsi="Calibri" w:cs="Times New Roman"/>
                <w:color w:val="000000"/>
              </w:rPr>
              <w:t xml:space="preserve"> Programs</w:t>
            </w:r>
          </w:p>
        </w:tc>
      </w:tr>
      <w:tr w:rsidR="006E0BAF" w:rsidRPr="0017700F" w14:paraId="67B1E800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C4FA7AE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Mayo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E0A8C2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Jane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3B6FFB5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Foote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0E7C8572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7700F">
              <w:rPr>
                <w:rFonts w:ascii="Calibri" w:eastAsia="Times New Roman" w:hAnsi="Calibri" w:cs="Times New Roman"/>
                <w:color w:val="0563C1"/>
                <w:u w:val="single"/>
              </w:rPr>
              <w:t>foote.jane@mayo.edu</w:t>
            </w:r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14:paraId="5A180CDA" w14:textId="44B68559" w:rsidR="0017700F" w:rsidRPr="0017700F" w:rsidRDefault="006B21E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Health </w:t>
            </w:r>
            <w:r w:rsidR="0017700F" w:rsidRPr="0017700F">
              <w:rPr>
                <w:rFonts w:ascii="Calibri" w:eastAsia="Times New Roman" w:hAnsi="Calibri" w:cs="Times New Roman"/>
                <w:color w:val="000000"/>
              </w:rPr>
              <w:t>System</w:t>
            </w:r>
          </w:p>
        </w:tc>
      </w:tr>
      <w:tr w:rsidR="00C21091" w:rsidRPr="0017700F" w14:paraId="3EBD6A08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auto"/>
            <w:noWrap/>
            <w:vAlign w:val="bottom"/>
          </w:tcPr>
          <w:p w14:paraId="251D5854" w14:textId="1CD0549F" w:rsidR="00C21091" w:rsidRPr="0017700F" w:rsidRDefault="00C21091" w:rsidP="00C21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State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1D25206" w14:textId="7F4B1F04" w:rsidR="00C21091" w:rsidRPr="0017700F" w:rsidRDefault="00C21091" w:rsidP="00C21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Judith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CA1A345" w14:textId="7FF1D2B0" w:rsidR="00C21091" w:rsidRPr="0017700F" w:rsidRDefault="00C21091" w:rsidP="00C21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Graziano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 w14:paraId="500167E8" w14:textId="7B2C9C0D" w:rsidR="00C21091" w:rsidRPr="0017700F" w:rsidRDefault="00D05A91" w:rsidP="00C2109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2" w:history="1">
              <w:r w:rsidR="00C21091" w:rsidRPr="0017700F">
                <w:rPr>
                  <w:rFonts w:ascii="Calibri" w:eastAsia="Times New Roman" w:hAnsi="Calibri" w:cs="Times New Roman"/>
                  <w:color w:val="0563C1"/>
                  <w:u w:val="single"/>
                </w:rPr>
                <w:t>judith.graziano@metrostate.edu</w:t>
              </w:r>
            </w:hyperlink>
          </w:p>
        </w:tc>
        <w:tc>
          <w:tcPr>
            <w:tcW w:w="4759" w:type="dxa"/>
            <w:shd w:val="clear" w:color="auto" w:fill="auto"/>
            <w:noWrap/>
            <w:vAlign w:val="bottom"/>
          </w:tcPr>
          <w:p w14:paraId="60FC00F4" w14:textId="796B9123" w:rsidR="00C21091" w:rsidRPr="0017700F" w:rsidRDefault="00C21091" w:rsidP="00C21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 xml:space="preserve">MN State BSN </w:t>
            </w:r>
          </w:p>
        </w:tc>
      </w:tr>
      <w:tr w:rsidR="006E0BAF" w:rsidRPr="0017700F" w14:paraId="1F40207E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F1E3BEA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Winona (MACN)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ED59C6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99CBA1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Anderson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025E35D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7700F">
              <w:rPr>
                <w:rFonts w:ascii="Calibri" w:eastAsia="Times New Roman" w:hAnsi="Calibri" w:cs="Times New Roman"/>
                <w:color w:val="0563C1"/>
                <w:u w:val="single"/>
              </w:rPr>
              <w:t>Julie.Anderson@winona.edu</w:t>
            </w:r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14:paraId="089034A4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MACN</w:t>
            </w:r>
          </w:p>
        </w:tc>
      </w:tr>
      <w:tr w:rsidR="006E0BAF" w:rsidRPr="0017700F" w14:paraId="17EAC6D6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A2B3BFD" w14:textId="1241BFCF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Children</w:t>
            </w:r>
            <w:r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17700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A95E48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 xml:space="preserve">Lindsay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792D648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Schipper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0733781A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7700F">
              <w:rPr>
                <w:rFonts w:ascii="Calibri" w:eastAsia="Times New Roman" w:hAnsi="Calibri" w:cs="Times New Roman"/>
                <w:color w:val="0563C1"/>
                <w:u w:val="single"/>
              </w:rPr>
              <w:t>lindsay.schipper@childrensmn.org</w:t>
            </w:r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14:paraId="5C933F28" w14:textId="12406AA8" w:rsidR="0017700F" w:rsidRPr="0017700F" w:rsidRDefault="006B21E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Health System</w:t>
            </w:r>
          </w:p>
        </w:tc>
      </w:tr>
      <w:tr w:rsidR="006E0BAF" w:rsidRPr="0017700F" w14:paraId="4404C60C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4DAC966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North Memorial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6D16BB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Lou Ann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0E0B7B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Setter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1DB37CA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7700F">
              <w:rPr>
                <w:rFonts w:ascii="Calibri" w:eastAsia="Times New Roman" w:hAnsi="Calibri" w:cs="Times New Roman"/>
                <w:color w:val="0563C1"/>
                <w:u w:val="single"/>
              </w:rPr>
              <w:t>louann.setter@northmemorial.com</w:t>
            </w:r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14:paraId="21F80C83" w14:textId="575F813E" w:rsidR="0017700F" w:rsidRPr="0017700F" w:rsidRDefault="006B21E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Health System</w:t>
            </w:r>
          </w:p>
        </w:tc>
      </w:tr>
      <w:tr w:rsidR="006E0BAF" w:rsidRPr="0017700F" w14:paraId="48AD4E27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62E86A4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HealthPartners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EFF19B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D14B1B5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7700F">
              <w:rPr>
                <w:rFonts w:ascii="Calibri" w:eastAsia="Times New Roman" w:hAnsi="Calibri" w:cs="Times New Roman"/>
                <w:color w:val="000000"/>
              </w:rPr>
              <w:t>Noltimier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0DF243E6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7700F">
              <w:rPr>
                <w:rFonts w:ascii="Calibri" w:eastAsia="Times New Roman" w:hAnsi="Calibri" w:cs="Times New Roman"/>
                <w:color w:val="0563C1"/>
                <w:u w:val="single"/>
              </w:rPr>
              <w:t>michelle.t.noltimier@healthpartners.com</w:t>
            </w:r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14:paraId="22238B8C" w14:textId="05EDFB39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Health System (alternate)</w:t>
            </w:r>
          </w:p>
        </w:tc>
      </w:tr>
      <w:tr w:rsidR="006E0BAF" w:rsidRPr="0017700F" w14:paraId="6EB16917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58CEC30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St. Scholastica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4DB1B3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Mike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1A6F137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7700F">
              <w:rPr>
                <w:rFonts w:ascii="Calibri" w:eastAsia="Times New Roman" w:hAnsi="Calibri" w:cs="Times New Roman"/>
                <w:color w:val="000000"/>
              </w:rPr>
              <w:t>Clabaugh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C808A41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7700F">
              <w:rPr>
                <w:rFonts w:ascii="Calibri" w:eastAsia="Times New Roman" w:hAnsi="Calibri" w:cs="Times New Roman"/>
                <w:color w:val="0563C1"/>
                <w:u w:val="single"/>
              </w:rPr>
              <w:t>mclabaug@css.edu</w:t>
            </w:r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14:paraId="6A44DBCE" w14:textId="759EEEAD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Private Colleges</w:t>
            </w:r>
          </w:p>
        </w:tc>
      </w:tr>
      <w:tr w:rsidR="006E0BAF" w:rsidRPr="0017700F" w14:paraId="0C6A3CE7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7198FD8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CSB/SJU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B007F2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Rachelle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2D8469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Larsen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33DA482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7700F">
              <w:rPr>
                <w:rFonts w:ascii="Calibri" w:eastAsia="Times New Roman" w:hAnsi="Calibri" w:cs="Times New Roman"/>
                <w:color w:val="0563C1"/>
                <w:u w:val="single"/>
              </w:rPr>
              <w:t>rlarsen@csbsju.edu</w:t>
            </w:r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14:paraId="4EDCEC83" w14:textId="4BE9EA6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Private Colleges</w:t>
            </w:r>
          </w:p>
        </w:tc>
      </w:tr>
      <w:tr w:rsidR="006E0BAF" w:rsidRPr="0017700F" w14:paraId="2A930728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2AF1F31" w14:textId="1D2960C7" w:rsidR="0017700F" w:rsidRPr="0017700F" w:rsidRDefault="006E0BA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17700F">
              <w:rPr>
                <w:rFonts w:ascii="Calibri" w:eastAsia="Times New Roman" w:hAnsi="Calibri" w:cs="Times New Roman"/>
                <w:color w:val="000000"/>
              </w:rPr>
              <w:t xml:space="preserve"> Kate</w:t>
            </w:r>
            <w:r>
              <w:rPr>
                <w:rFonts w:ascii="Calibri" w:eastAsia="Times New Roman" w:hAnsi="Calibri" w:cs="Times New Roman"/>
                <w:color w:val="000000"/>
              </w:rPr>
              <w:t>’s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4C7A42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FB1F8D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McGill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7F63B83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7700F">
              <w:rPr>
                <w:rFonts w:ascii="Calibri" w:eastAsia="Times New Roman" w:hAnsi="Calibri" w:cs="Times New Roman"/>
                <w:color w:val="0563C1"/>
                <w:u w:val="single"/>
              </w:rPr>
              <w:t>rlmcgill@stkate.edu</w:t>
            </w:r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14:paraId="1C5601E2" w14:textId="447BE9AD" w:rsidR="0017700F" w:rsidRPr="0017700F" w:rsidRDefault="006B21E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Private Colleges </w:t>
            </w:r>
            <w:r w:rsidR="0017700F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17700F" w:rsidRPr="0017700F">
              <w:rPr>
                <w:rFonts w:ascii="Calibri" w:eastAsia="Times New Roman" w:hAnsi="Calibri" w:cs="Times New Roman"/>
                <w:color w:val="000000"/>
              </w:rPr>
              <w:t>TCCP Chair, reelected Nov</w:t>
            </w:r>
            <w:r w:rsidR="0017700F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17700F" w:rsidRPr="0017700F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  <w:r w:rsidR="0017700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6E0BAF" w:rsidRPr="0017700F" w14:paraId="4B7EC783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5864B04" w14:textId="2B2B5CC6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U</w:t>
            </w:r>
            <w:r w:rsidR="006E0BAF">
              <w:rPr>
                <w:rFonts w:ascii="Calibri" w:eastAsia="Times New Roman" w:hAnsi="Calibri" w:cs="Times New Roman"/>
                <w:color w:val="000000"/>
              </w:rPr>
              <w:t>niv. of Minn.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F8CF36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Sue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3324700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7700F">
              <w:rPr>
                <w:rFonts w:ascii="Calibri" w:eastAsia="Times New Roman" w:hAnsi="Calibri" w:cs="Times New Roman"/>
                <w:color w:val="000000"/>
              </w:rPr>
              <w:t>Kostka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ADA928E" w14:textId="77777777" w:rsidR="0017700F" w:rsidRPr="0017700F" w:rsidRDefault="0017700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7700F">
              <w:rPr>
                <w:rFonts w:ascii="Calibri" w:eastAsia="Times New Roman" w:hAnsi="Calibri" w:cs="Times New Roman"/>
                <w:color w:val="0563C1"/>
                <w:u w:val="single"/>
              </w:rPr>
              <w:t>kostk008@umn.edu</w:t>
            </w:r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14:paraId="2E353D56" w14:textId="734366C1" w:rsidR="0017700F" w:rsidRPr="0017700F" w:rsidRDefault="006B21EF" w:rsidP="0017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Univ. of MN </w:t>
            </w:r>
            <w:r w:rsidR="0017700F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17700F" w:rsidRPr="0017700F">
              <w:rPr>
                <w:rFonts w:ascii="Calibri" w:eastAsia="Times New Roman" w:hAnsi="Calibri" w:cs="Times New Roman"/>
                <w:color w:val="000000"/>
              </w:rPr>
              <w:t>TCCP Chair, reelected Nov</w:t>
            </w:r>
            <w:r w:rsidR="0017700F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17700F" w:rsidRPr="0017700F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  <w:r w:rsidR="0017700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6E0BAF" w:rsidRPr="0017700F" w14:paraId="41FF5147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9B8BA11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Fairview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C6F0F9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Tanya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1174F48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7700F">
              <w:rPr>
                <w:rFonts w:ascii="Calibri" w:eastAsia="Times New Roman" w:hAnsi="Calibri" w:cs="Times New Roman"/>
                <w:color w:val="000000"/>
              </w:rPr>
              <w:t>Velishek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06495A4C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7700F">
              <w:rPr>
                <w:rFonts w:ascii="Calibri" w:eastAsia="Times New Roman" w:hAnsi="Calibri" w:cs="Times New Roman"/>
                <w:color w:val="0563C1"/>
                <w:u w:val="single"/>
              </w:rPr>
              <w:t>tvelish1@fairview.org</w:t>
            </w:r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14:paraId="4719C09E" w14:textId="42F71093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Health </w:t>
            </w:r>
            <w:r w:rsidR="00C21091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>ystem (</w:t>
            </w:r>
            <w:r w:rsidRPr="0017700F">
              <w:rPr>
                <w:rFonts w:ascii="Calibri" w:eastAsia="Times New Roman" w:hAnsi="Calibri" w:cs="Times New Roman"/>
                <w:color w:val="000000"/>
              </w:rPr>
              <w:t>TCCP Chair, reelected Nov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17700F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6E0BAF" w:rsidRPr="0017700F" w14:paraId="167C722E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ADDEF80" w14:textId="26E5805F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M</w:t>
            </w:r>
            <w:r w:rsidR="006E0BAF">
              <w:rPr>
                <w:rFonts w:ascii="Calibri" w:eastAsia="Times New Roman" w:hAnsi="Calibri" w:cs="Times New Roman"/>
                <w:color w:val="000000"/>
              </w:rPr>
              <w:t>inneapolis Coll.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39F21E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Traci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0A4309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Krause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DBA9DD0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7700F">
              <w:rPr>
                <w:rFonts w:ascii="Calibri" w:eastAsia="Times New Roman" w:hAnsi="Calibri" w:cs="Times New Roman"/>
                <w:color w:val="0563C1"/>
                <w:u w:val="single"/>
              </w:rPr>
              <w:t>traci.krause@minneapolis.edu</w:t>
            </w:r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14:paraId="2B4523D5" w14:textId="20658F9E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 State (</w:t>
            </w:r>
            <w:r w:rsidRPr="0017700F">
              <w:rPr>
                <w:rFonts w:ascii="Calibri" w:eastAsia="Times New Roman" w:hAnsi="Calibri" w:cs="Times New Roman"/>
                <w:color w:val="000000"/>
              </w:rPr>
              <w:t>TCCP Chair, reelected Nov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17700F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6E0BAF" w:rsidRPr="0017700F" w14:paraId="1BB0E8F3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F351358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Bethel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33FF7E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Wally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DD6D86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7700F">
              <w:rPr>
                <w:rFonts w:ascii="Calibri" w:eastAsia="Times New Roman" w:hAnsi="Calibri" w:cs="Times New Roman"/>
                <w:color w:val="000000"/>
              </w:rPr>
              <w:t>Boeve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CBF851E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7700F">
              <w:rPr>
                <w:rFonts w:ascii="Calibri" w:eastAsia="Times New Roman" w:hAnsi="Calibri" w:cs="Times New Roman"/>
                <w:color w:val="0563C1"/>
                <w:u w:val="single"/>
              </w:rPr>
              <w:t>w-boeve@bethel.edu</w:t>
            </w:r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14:paraId="5A62CF20" w14:textId="540E279F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 xml:space="preserve">PA </w:t>
            </w:r>
            <w:r>
              <w:rPr>
                <w:rFonts w:ascii="Calibri" w:eastAsia="Times New Roman" w:hAnsi="Calibri" w:cs="Times New Roman"/>
                <w:color w:val="000000"/>
              </w:rPr>
              <w:t>Programs (alternate)</w:t>
            </w:r>
          </w:p>
        </w:tc>
      </w:tr>
      <w:tr w:rsidR="00C74A7D" w:rsidRPr="0017700F" w14:paraId="22ED4E0D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F2F2F2" w:themeFill="background1" w:themeFillShade="F2"/>
            <w:noWrap/>
            <w:vAlign w:val="bottom"/>
            <w:hideMark/>
          </w:tcPr>
          <w:p w14:paraId="6CE58273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bottom"/>
            <w:hideMark/>
          </w:tcPr>
          <w:p w14:paraId="3BCA5D41" w14:textId="77777777" w:rsidR="006B21EF" w:rsidRPr="0017700F" w:rsidRDefault="006B21EF" w:rsidP="006B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noWrap/>
            <w:vAlign w:val="bottom"/>
            <w:hideMark/>
          </w:tcPr>
          <w:p w14:paraId="5D685A9B" w14:textId="77777777" w:rsidR="006B21EF" w:rsidRPr="0017700F" w:rsidRDefault="006B21EF" w:rsidP="006B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  <w:noWrap/>
            <w:vAlign w:val="bottom"/>
            <w:hideMark/>
          </w:tcPr>
          <w:p w14:paraId="0768DDE7" w14:textId="77777777" w:rsidR="006B21EF" w:rsidRPr="0017700F" w:rsidRDefault="006B21EF" w:rsidP="006B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F2F2F2" w:themeFill="background1" w:themeFillShade="F2"/>
            <w:noWrap/>
            <w:vAlign w:val="bottom"/>
            <w:hideMark/>
          </w:tcPr>
          <w:p w14:paraId="5D15A87B" w14:textId="77777777" w:rsidR="006B21EF" w:rsidRPr="0017700F" w:rsidRDefault="006B21EF" w:rsidP="006B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BAF" w:rsidRPr="0017700F" w14:paraId="064F38D8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2882824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7700F">
              <w:rPr>
                <w:rFonts w:ascii="Calibri" w:eastAsia="Times New Roman" w:hAnsi="Calibri" w:cs="Times New Roman"/>
                <w:color w:val="000000"/>
              </w:rPr>
              <w:t>HealthForce</w:t>
            </w:r>
            <w:proofErr w:type="spellEnd"/>
            <w:r w:rsidRPr="0017700F">
              <w:rPr>
                <w:rFonts w:ascii="Calibri" w:eastAsia="Times New Roman" w:hAnsi="Calibri" w:cs="Times New Roman"/>
                <w:color w:val="000000"/>
              </w:rPr>
              <w:t xml:space="preserve"> MN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78B0BD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Valerie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D211D53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7700F">
              <w:rPr>
                <w:rFonts w:ascii="Calibri" w:eastAsia="Times New Roman" w:hAnsi="Calibri" w:cs="Times New Roman"/>
                <w:color w:val="000000"/>
              </w:rPr>
              <w:t>DeFor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A6EE1C0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7700F">
              <w:rPr>
                <w:rFonts w:ascii="Calibri" w:eastAsia="Times New Roman" w:hAnsi="Calibri" w:cs="Times New Roman"/>
                <w:color w:val="0563C1"/>
                <w:u w:val="single"/>
              </w:rPr>
              <w:t>vdefor@winona.edu</w:t>
            </w:r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14:paraId="0AD77279" w14:textId="69F1A7D2" w:rsidR="006B21EF" w:rsidRPr="0017700F" w:rsidRDefault="00C21091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1091">
              <w:rPr>
                <w:rFonts w:ascii="Calibri" w:eastAsia="Times New Roman" w:hAnsi="Calibri" w:cs="Times New Roman"/>
                <w:color w:val="000000"/>
              </w:rPr>
              <w:t>HealthForce</w:t>
            </w:r>
            <w:proofErr w:type="spellEnd"/>
            <w:r w:rsidRPr="00C21091">
              <w:rPr>
                <w:rFonts w:ascii="Calibri" w:eastAsia="Times New Roman" w:hAnsi="Calibri" w:cs="Times New Roman"/>
                <w:color w:val="000000"/>
              </w:rPr>
              <w:t xml:space="preserve"> MN</w:t>
            </w:r>
          </w:p>
        </w:tc>
      </w:tr>
      <w:tr w:rsidR="006E0BAF" w:rsidRPr="0017700F" w14:paraId="46A35CA5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8446261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TCCP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7EE7A5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Liz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9899EED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Biel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FA2B8D8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7700F">
              <w:rPr>
                <w:rFonts w:ascii="Calibri" w:eastAsia="Times New Roman" w:hAnsi="Calibri" w:cs="Times New Roman"/>
                <w:color w:val="0563C1"/>
                <w:u w:val="single"/>
              </w:rPr>
              <w:t>eabiel@winona.edu</w:t>
            </w:r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14:paraId="509A3300" w14:textId="0475A091" w:rsidR="006B21EF" w:rsidRPr="0017700F" w:rsidRDefault="00C21091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1091">
              <w:rPr>
                <w:rFonts w:ascii="Calibri" w:eastAsia="Times New Roman" w:hAnsi="Calibri" w:cs="Times New Roman"/>
                <w:color w:val="000000"/>
              </w:rPr>
              <w:t>TCCP Staff</w:t>
            </w:r>
          </w:p>
        </w:tc>
      </w:tr>
      <w:tr w:rsidR="006E0BAF" w:rsidRPr="0017700F" w14:paraId="079F2499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425F106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TCCP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9C26CE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Judith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7898C73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2DDC290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7700F">
              <w:rPr>
                <w:rFonts w:ascii="Calibri" w:eastAsia="Times New Roman" w:hAnsi="Calibri" w:cs="Times New Roman"/>
                <w:color w:val="0563C1"/>
                <w:u w:val="single"/>
              </w:rPr>
              <w:t>judith@clinicalcoordination.org</w:t>
            </w:r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14:paraId="507DDD49" w14:textId="71591FBC" w:rsidR="006B21EF" w:rsidRPr="0017700F" w:rsidRDefault="00C21091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1091">
              <w:rPr>
                <w:rFonts w:ascii="Calibri" w:eastAsia="Times New Roman" w:hAnsi="Calibri" w:cs="Times New Roman"/>
                <w:color w:val="000000"/>
              </w:rPr>
              <w:t>TCCP Staff</w:t>
            </w:r>
          </w:p>
        </w:tc>
      </w:tr>
      <w:tr w:rsidR="006E0BAF" w:rsidRPr="0017700F" w14:paraId="20D95FB4" w14:textId="77777777" w:rsidTr="006E0BAF">
        <w:trPr>
          <w:trHeight w:val="300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F4BA458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TCCP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ECCEF7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Jackie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CC8B1B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00F">
              <w:rPr>
                <w:rFonts w:ascii="Calibri" w:eastAsia="Times New Roman" w:hAnsi="Calibri" w:cs="Times New Roman"/>
                <w:color w:val="000000"/>
              </w:rPr>
              <w:t>Ryan-</w:t>
            </w:r>
            <w:proofErr w:type="spellStart"/>
            <w:r w:rsidRPr="0017700F">
              <w:rPr>
                <w:rFonts w:ascii="Calibri" w:eastAsia="Times New Roman" w:hAnsi="Calibri" w:cs="Times New Roman"/>
                <w:color w:val="000000"/>
              </w:rPr>
              <w:t>Lodermeier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08017F8D" w14:textId="77777777" w:rsidR="006B21EF" w:rsidRPr="0017700F" w:rsidRDefault="006B21EF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7700F">
              <w:rPr>
                <w:rFonts w:ascii="Calibri" w:eastAsia="Times New Roman" w:hAnsi="Calibri" w:cs="Times New Roman"/>
                <w:color w:val="0563C1"/>
                <w:u w:val="single"/>
              </w:rPr>
              <w:t>JRyanLodermeier@winona.edu</w:t>
            </w:r>
          </w:p>
        </w:tc>
        <w:tc>
          <w:tcPr>
            <w:tcW w:w="4759" w:type="dxa"/>
            <w:shd w:val="clear" w:color="auto" w:fill="auto"/>
            <w:noWrap/>
            <w:vAlign w:val="bottom"/>
            <w:hideMark/>
          </w:tcPr>
          <w:p w14:paraId="3C86F7B3" w14:textId="6A6E60A0" w:rsidR="006B21EF" w:rsidRPr="0017700F" w:rsidRDefault="00C21091" w:rsidP="006B2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1091">
              <w:rPr>
                <w:rFonts w:ascii="Calibri" w:eastAsia="Times New Roman" w:hAnsi="Calibri" w:cs="Times New Roman"/>
                <w:color w:val="000000"/>
              </w:rPr>
              <w:t>TCCP Staff</w:t>
            </w:r>
          </w:p>
        </w:tc>
      </w:tr>
    </w:tbl>
    <w:p w14:paraId="1B72F108" w14:textId="34D64A6A" w:rsidR="0017700F" w:rsidRPr="0017700F" w:rsidRDefault="0017700F" w:rsidP="0017700F">
      <w:pPr>
        <w:rPr>
          <w:color w:val="002060"/>
        </w:rPr>
      </w:pPr>
    </w:p>
    <w:sectPr w:rsidR="0017700F" w:rsidRPr="0017700F" w:rsidSect="001770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2B518" w14:textId="77777777" w:rsidR="00D05A91" w:rsidRDefault="00D05A91" w:rsidP="00DA0201">
      <w:pPr>
        <w:spacing w:after="0" w:line="240" w:lineRule="auto"/>
      </w:pPr>
      <w:r>
        <w:separator/>
      </w:r>
    </w:p>
  </w:endnote>
  <w:endnote w:type="continuationSeparator" w:id="0">
    <w:p w14:paraId="699FC77C" w14:textId="77777777" w:rsidR="00D05A91" w:rsidRDefault="00D05A91" w:rsidP="00DA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6094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E71F3" w14:textId="1EB374E4" w:rsidR="0041479D" w:rsidRDefault="004147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A676B58" w14:textId="77777777" w:rsidR="0041479D" w:rsidRDefault="00414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AC603" w14:textId="77777777" w:rsidR="00D05A91" w:rsidRDefault="00D05A91" w:rsidP="00DA0201">
      <w:pPr>
        <w:spacing w:after="0" w:line="240" w:lineRule="auto"/>
      </w:pPr>
      <w:r>
        <w:separator/>
      </w:r>
    </w:p>
  </w:footnote>
  <w:footnote w:type="continuationSeparator" w:id="0">
    <w:p w14:paraId="70AC7530" w14:textId="77777777" w:rsidR="00D05A91" w:rsidRDefault="00D05A91" w:rsidP="00DA0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98B"/>
    <w:multiLevelType w:val="hybridMultilevel"/>
    <w:tmpl w:val="80EA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B7B8F"/>
    <w:multiLevelType w:val="hybridMultilevel"/>
    <w:tmpl w:val="01D21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8C0"/>
    <w:multiLevelType w:val="hybridMultilevel"/>
    <w:tmpl w:val="6426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2EBA"/>
    <w:multiLevelType w:val="hybridMultilevel"/>
    <w:tmpl w:val="A9E0A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997035"/>
    <w:multiLevelType w:val="hybridMultilevel"/>
    <w:tmpl w:val="01CE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62FB2"/>
    <w:multiLevelType w:val="hybridMultilevel"/>
    <w:tmpl w:val="E970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4509B"/>
    <w:multiLevelType w:val="hybridMultilevel"/>
    <w:tmpl w:val="2C840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47FBB"/>
    <w:multiLevelType w:val="hybridMultilevel"/>
    <w:tmpl w:val="E486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30B8A"/>
    <w:multiLevelType w:val="hybridMultilevel"/>
    <w:tmpl w:val="C528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B7C28"/>
    <w:multiLevelType w:val="hybridMultilevel"/>
    <w:tmpl w:val="D8781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84A8A"/>
    <w:multiLevelType w:val="hybridMultilevel"/>
    <w:tmpl w:val="A9D8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A7008"/>
    <w:multiLevelType w:val="hybridMultilevel"/>
    <w:tmpl w:val="4482B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9C62DD"/>
    <w:multiLevelType w:val="hybridMultilevel"/>
    <w:tmpl w:val="95788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D2BDC"/>
    <w:multiLevelType w:val="hybridMultilevel"/>
    <w:tmpl w:val="C7FE11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65583D64"/>
    <w:multiLevelType w:val="hybridMultilevel"/>
    <w:tmpl w:val="B10CC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F1E5C"/>
    <w:multiLevelType w:val="hybridMultilevel"/>
    <w:tmpl w:val="AFDA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F129D"/>
    <w:multiLevelType w:val="hybridMultilevel"/>
    <w:tmpl w:val="AA14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F3374"/>
    <w:multiLevelType w:val="hybridMultilevel"/>
    <w:tmpl w:val="48E2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D03E8"/>
    <w:multiLevelType w:val="hybridMultilevel"/>
    <w:tmpl w:val="01C8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7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11"/>
  </w:num>
  <w:num w:numId="10">
    <w:abstractNumId w:val="14"/>
  </w:num>
  <w:num w:numId="11">
    <w:abstractNumId w:val="1"/>
  </w:num>
  <w:num w:numId="12">
    <w:abstractNumId w:val="7"/>
  </w:num>
  <w:num w:numId="13">
    <w:abstractNumId w:val="18"/>
  </w:num>
  <w:num w:numId="14">
    <w:abstractNumId w:val="8"/>
  </w:num>
  <w:num w:numId="15">
    <w:abstractNumId w:val="2"/>
  </w:num>
  <w:num w:numId="16">
    <w:abstractNumId w:val="4"/>
  </w:num>
  <w:num w:numId="17">
    <w:abstractNumId w:val="16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68"/>
    <w:rsid w:val="00086C4F"/>
    <w:rsid w:val="000B70EF"/>
    <w:rsid w:val="00153B1E"/>
    <w:rsid w:val="0017700F"/>
    <w:rsid w:val="001A2F86"/>
    <w:rsid w:val="001E7FF8"/>
    <w:rsid w:val="001F7F4B"/>
    <w:rsid w:val="0021384B"/>
    <w:rsid w:val="00272A75"/>
    <w:rsid w:val="002A77FA"/>
    <w:rsid w:val="002E5EB4"/>
    <w:rsid w:val="002F6E9C"/>
    <w:rsid w:val="00326EFF"/>
    <w:rsid w:val="003F093B"/>
    <w:rsid w:val="0041479D"/>
    <w:rsid w:val="00431477"/>
    <w:rsid w:val="0049525D"/>
    <w:rsid w:val="004E6A4B"/>
    <w:rsid w:val="004F160F"/>
    <w:rsid w:val="005133C9"/>
    <w:rsid w:val="00576614"/>
    <w:rsid w:val="0058046C"/>
    <w:rsid w:val="006121D9"/>
    <w:rsid w:val="00681C1A"/>
    <w:rsid w:val="006B21EF"/>
    <w:rsid w:val="006E0BAF"/>
    <w:rsid w:val="00705931"/>
    <w:rsid w:val="0089641A"/>
    <w:rsid w:val="008B70DB"/>
    <w:rsid w:val="00915EB7"/>
    <w:rsid w:val="00A60384"/>
    <w:rsid w:val="00AB13E9"/>
    <w:rsid w:val="00B7765D"/>
    <w:rsid w:val="00C07216"/>
    <w:rsid w:val="00C21091"/>
    <w:rsid w:val="00C51959"/>
    <w:rsid w:val="00C74A7D"/>
    <w:rsid w:val="00CB100D"/>
    <w:rsid w:val="00CD127B"/>
    <w:rsid w:val="00CE0BDF"/>
    <w:rsid w:val="00D05A91"/>
    <w:rsid w:val="00D26DD6"/>
    <w:rsid w:val="00D52F80"/>
    <w:rsid w:val="00DA0201"/>
    <w:rsid w:val="00DB64CE"/>
    <w:rsid w:val="00DB6BFB"/>
    <w:rsid w:val="00DD633C"/>
    <w:rsid w:val="00E434DA"/>
    <w:rsid w:val="00E604DC"/>
    <w:rsid w:val="00EC6B62"/>
    <w:rsid w:val="00ED53C4"/>
    <w:rsid w:val="00F0252A"/>
    <w:rsid w:val="00F15246"/>
    <w:rsid w:val="00F66230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8A11"/>
  <w15:chartTrackingRefBased/>
  <w15:docId w15:val="{2413777A-0C70-44A5-985C-12446E65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7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C4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A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01"/>
  </w:style>
  <w:style w:type="paragraph" w:styleId="Footer">
    <w:name w:val="footer"/>
    <w:basedOn w:val="Normal"/>
    <w:link w:val="FooterChar"/>
    <w:uiPriority w:val="99"/>
    <w:unhideWhenUsed/>
    <w:rsid w:val="00DA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01"/>
  </w:style>
  <w:style w:type="table" w:styleId="TableGrid">
    <w:name w:val="Table Grid"/>
    <w:basedOn w:val="TableNormal"/>
    <w:uiPriority w:val="39"/>
    <w:rsid w:val="000B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uiPriority w:val="47"/>
    <w:rsid w:val="00F1524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0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mailto:judith.graziano@metro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TCCP Budget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4D1-40BA-A9AB-B1D80D0035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4D1-40BA-A9AB-B1D80D0035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4D1-40BA-A9AB-B1D80D0035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4D1-40BA-A9AB-B1D80D0035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4D1-40BA-A9AB-B1D80D003540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Admin
</a:t>
                    </a:r>
                    <a:fld id="{C0C31BCD-E5A7-4B96-B722-41A6AA2376BC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4D1-40BA-A9AB-B1D80D00354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Tech Maint
</a:t>
                    </a:r>
                    <a:fld id="{A03E141F-E8F2-4E20-9932-99A253E8908D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4D1-40BA-A9AB-B1D80D0035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Staff + Benefits</c:v>
                </c:pt>
                <c:pt idx="1">
                  <c:v>Administrative</c:v>
                </c:pt>
                <c:pt idx="2">
                  <c:v>Technology Maintenance</c:v>
                </c:pt>
                <c:pt idx="3">
                  <c:v>New Intitiatives</c:v>
                </c:pt>
                <c:pt idx="4">
                  <c:v>Savings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234000</c:v>
                </c:pt>
                <c:pt idx="1">
                  <c:v>12000</c:v>
                </c:pt>
                <c:pt idx="2">
                  <c:v>45000</c:v>
                </c:pt>
                <c:pt idx="3">
                  <c:v>50000</c:v>
                </c:pt>
                <c:pt idx="4">
                  <c:v>34000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4D1-40BA-A9AB-B1D80D0035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TCCP Budget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4D1-40BA-A9AB-B1D80D0035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4D1-40BA-A9AB-B1D80D0035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4D1-40BA-A9AB-B1D80D0035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4D1-40BA-A9AB-B1D80D0035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4D1-40BA-A9AB-B1D80D003540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Admin
</a:t>
                    </a:r>
                    <a:fld id="{C0C31BCD-E5A7-4B96-B722-41A6AA2376BC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4D1-40BA-A9AB-B1D80D00354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Tech Maint
</a:t>
                    </a:r>
                    <a:fld id="{A03E141F-E8F2-4E20-9932-99A253E8908D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4D1-40BA-A9AB-B1D80D0035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Staff + Benefits</c:v>
                </c:pt>
                <c:pt idx="1">
                  <c:v>Administrative</c:v>
                </c:pt>
                <c:pt idx="2">
                  <c:v>Technology Maintenance</c:v>
                </c:pt>
                <c:pt idx="3">
                  <c:v>New Intitiatives</c:v>
                </c:pt>
                <c:pt idx="4">
                  <c:v>Savings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234000</c:v>
                </c:pt>
                <c:pt idx="1">
                  <c:v>12000</c:v>
                </c:pt>
                <c:pt idx="2">
                  <c:v>45000</c:v>
                </c:pt>
                <c:pt idx="3">
                  <c:v>50000</c:v>
                </c:pt>
                <c:pt idx="4">
                  <c:v>34000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4D1-40BA-A9AB-B1D80D0035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TCCP Budget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19-4C38-B422-8D09652F51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19-4C38-B422-8D09652F51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119-4C38-B422-8D09652F517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119-4C38-B422-8D09652F517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119-4C38-B422-8D09652F51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Staff + Benefits</c:v>
                </c:pt>
                <c:pt idx="1">
                  <c:v>Administrative</c:v>
                </c:pt>
                <c:pt idx="2">
                  <c:v>Technology Maintenance</c:v>
                </c:pt>
                <c:pt idx="3">
                  <c:v>New Intitiatives</c:v>
                </c:pt>
                <c:pt idx="4">
                  <c:v>Savings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234000</c:v>
                </c:pt>
                <c:pt idx="1">
                  <c:v>12000</c:v>
                </c:pt>
                <c:pt idx="2">
                  <c:v>45000</c:v>
                </c:pt>
                <c:pt idx="3">
                  <c:v>50000</c:v>
                </c:pt>
                <c:pt idx="4">
                  <c:v>34000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119-4C38-B422-8D09652F5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1CE-4F9C-A6EB-A37E2F144B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1CE-4F9C-A6EB-A37E2F144B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1CE-4F9C-A6EB-A37E2F144B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1CE-4F9C-A6EB-A37E2F144B21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Service Growth</a:t>
                    </a:r>
                    <a:r>
                      <a:rPr lang="en-US" baseline="0"/>
                      <a:t>, 15%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1CE-4F9C-A6EB-A37E2F144B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Sheet1!$B$2:$B$5</c:f>
              <c:strCache>
                <c:ptCount val="4"/>
                <c:pt idx="0">
                  <c:v>Direct Services</c:v>
                </c:pt>
                <c:pt idx="1">
                  <c:v>Service Growth</c:v>
                </c:pt>
                <c:pt idx="2">
                  <c:v>Tech Mgt</c:v>
                </c:pt>
                <c:pt idx="3">
                  <c:v>Admin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0.71</c:v>
                </c:pt>
                <c:pt idx="1">
                  <c:v>0.15</c:v>
                </c:pt>
                <c:pt idx="2">
                  <c:v>0.11</c:v>
                </c:pt>
                <c:pt idx="3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1CE-4F9C-A6EB-A37E2F144B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Biel, Liz A</dc:creator>
  <cp:keywords/>
  <dc:description/>
  <cp:lastModifiedBy>Judith Mitchell</cp:lastModifiedBy>
  <cp:revision>15</cp:revision>
  <dcterms:created xsi:type="dcterms:W3CDTF">2018-12-06T06:58:00Z</dcterms:created>
  <dcterms:modified xsi:type="dcterms:W3CDTF">2018-12-06T21:57:00Z</dcterms:modified>
</cp:coreProperties>
</file>